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</w:t>
      </w:r>
    </w:p>
    <w:p>
      <w:pPr>
        <w:spacing w:before="240" w:after="240" w:line="500" w:lineRule="exact"/>
        <w:jc w:val="center"/>
        <w:rPr>
          <w:rFonts w:ascii="长城小标宋体" w:eastAsia="长城小标宋体"/>
          <w:sz w:val="36"/>
          <w:szCs w:val="36"/>
        </w:rPr>
      </w:pPr>
      <w:r>
        <w:rPr>
          <w:rFonts w:hint="eastAsia" w:ascii="长城小标宋体" w:eastAsia="长城小标宋体"/>
          <w:sz w:val="36"/>
          <w:szCs w:val="36"/>
        </w:rPr>
        <w:t>保险资产负债管理书籍与课题发布及培训会议程</w:t>
      </w:r>
    </w:p>
    <w:tbl>
      <w:tblPr>
        <w:tblStyle w:val="5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816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8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主题</w:t>
            </w:r>
          </w:p>
        </w:tc>
        <w:tc>
          <w:tcPr>
            <w:tcW w:w="37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授课嘉宾（拟）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2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第一部分：保险资产负债管理书籍与课题发布</w:t>
            </w: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主持人：协会教育培训及国际事务部总监杜建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8月27日（周四）上午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9:00-9:15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《中国保险资产负债管理监管、实践与发展》及《中国保险资产负债管理实践探索集》编辑的背景及意义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协会执行副会长兼秘书长曹德云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9:15-9:25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《中国保险资产负债管理监管、实践与发展》整体框架介绍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中国太平洋人寿股份有限公司资产管理中心主任赵鹰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9:25-9:35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《中国保险资产负债管理实践探索集》框架介绍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中国人民人寿保险股份有限公司党委委员、副总裁王文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9:35-9:50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专家点评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学界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、业界专家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9:50-10:00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书籍与课题集发布仪式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书籍与课题集参与专家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2" w:type="dxa"/>
            <w:gridSpan w:val="3"/>
            <w:shd w:val="clear" w:color="auto" w:fill="FBD4B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第二部分：资产负债管理培训</w:t>
            </w: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主持人：协会教育培训及国际事务部总监杜建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资产负债行业发展总体情况及下一步工作要求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银保监会资金部制度处处长杜林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人身险公司资产负债管理模式及运行经验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中国人寿保险股份有限公司精算部资深精算师肖长春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财产险公司资产负债管理模式及运行经验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中国人民财产保险股份有限公司资金运营部投资研究处处长熊宇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境外资产负债管理模式与发展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预远科技（Redington中国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）董事会副主席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12:00-12:10</w:t>
            </w:r>
          </w:p>
        </w:tc>
        <w:tc>
          <w:tcPr>
            <w:tcW w:w="3816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会议总结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协会副秘书长陈有棠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2" w:type="dxa"/>
            <w:gridSpan w:val="3"/>
            <w:shd w:val="clear" w:color="auto" w:fill="FBD4B4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第三部分：资产负债专委会课题分享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主持人：资产负债专委会主任委员单位代表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8月27日（周四）下午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14:00-14:10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主持人开场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资产负债专委会主任委员单位代表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14:10-14:50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保险资产负债管理在资本管理和价值利润管理中的应用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长城小标宋体" w:eastAsia="仿宋_GB2312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汇丰人寿保险有限公司企业精算部总经理 刘福星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14:50-15:30</w:t>
            </w:r>
          </w:p>
        </w:tc>
        <w:tc>
          <w:tcPr>
            <w:tcW w:w="3816" w:type="dxa"/>
            <w:vAlign w:val="center"/>
          </w:tcPr>
          <w:p>
            <w:pPr>
              <w:tabs>
                <w:tab w:val="center" w:pos="1876"/>
              </w:tabs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保险资产负债管理在制定衍生品对冲策略中的应用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长城小标宋体" w:eastAsia="仿宋_GB2312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工银安盛人寿保险有限公司资产管理部总经理 李进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15:30-16:10</w:t>
            </w:r>
          </w:p>
        </w:tc>
        <w:tc>
          <w:tcPr>
            <w:tcW w:w="3816" w:type="dxa"/>
            <w:vAlign w:val="center"/>
          </w:tcPr>
          <w:p>
            <w:pPr>
              <w:tabs>
                <w:tab w:val="center" w:pos="1876"/>
              </w:tabs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保险资产负债管理在产品开发中的应用路径探索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长城小标宋体" w:eastAsia="仿宋_GB2312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新华养老保险公司拟任总精算师、拟任财务负责人 马海利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16:10-16:50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保险资产负债管理内审评估研究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长城小标宋体" w:eastAsia="仿宋_GB2312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中国太平洋保险（集团）股份有限公司首席审计师 胡霜竹</w:t>
            </w:r>
          </w:p>
          <w:p>
            <w:pPr>
              <w:spacing w:line="440" w:lineRule="exact"/>
              <w:rPr>
                <w:rFonts w:ascii="仿宋_GB2312" w:hAnsi="长城小标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 xml:space="preserve">普华永道中天会计师事务所（特殊普通合伙）管理咨询合伙人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周瑾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16:50-17:30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bookmarkStart w:id="0" w:name="_Hlk48551598"/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保险资产负债管理量化评估表审核研究</w:t>
            </w:r>
            <w:bookmarkEnd w:id="0"/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长城小标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安永华明会计师事务所（特殊普通合伙）高级经理 江一清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8月28日（周五）上午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9:00-9:10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主持人开场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资产负债专委会主任委员单位代表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9:10-9:50</w:t>
            </w:r>
          </w:p>
        </w:tc>
        <w:tc>
          <w:tcPr>
            <w:tcW w:w="3816" w:type="dxa"/>
            <w:vAlign w:val="center"/>
          </w:tcPr>
          <w:p>
            <w:pPr>
              <w:tabs>
                <w:tab w:val="center" w:pos="1876"/>
              </w:tabs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保险资产负债管理绩效考核理论方法及实践研究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ind w:left="1"/>
              <w:rPr>
                <w:rFonts w:ascii="仿宋_GB2312" w:hAnsi="长城小标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 xml:space="preserve">泰康人寿保险有限责任公司投资管理部负责人  李斯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9:50-10:30</w:t>
            </w:r>
          </w:p>
        </w:tc>
        <w:tc>
          <w:tcPr>
            <w:tcW w:w="3816" w:type="dxa"/>
            <w:vAlign w:val="center"/>
          </w:tcPr>
          <w:p>
            <w:pPr>
              <w:tabs>
                <w:tab w:val="center" w:pos="1876"/>
              </w:tabs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财产保险公司在资产配置及资产负债管理中的路径探索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ind w:left="28" w:hanging="28" w:hangingChars="10"/>
              <w:jc w:val="left"/>
              <w:rPr>
                <w:rFonts w:ascii="仿宋_GB2312" w:hAnsi="长城小标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中国平安财产保险股有限公司资产管理部总经理 卢凡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381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国内外保险集团资产负债管理体系研究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rPr>
                <w:rFonts w:ascii="仿宋_GB2312" w:hAnsi="长城小标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中国人民保险集团股份有限公司财务管理部资产负债处高级主管 王跃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3816" w:type="dxa"/>
            <w:vAlign w:val="center"/>
          </w:tcPr>
          <w:p>
            <w:pPr>
              <w:tabs>
                <w:tab w:val="center" w:pos="1876"/>
              </w:tabs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银行与保险资产负债管理比较研究</w:t>
            </w:r>
          </w:p>
        </w:tc>
        <w:tc>
          <w:tcPr>
            <w:tcW w:w="3786" w:type="dxa"/>
            <w:vAlign w:val="center"/>
          </w:tcPr>
          <w:p>
            <w:pPr>
              <w:spacing w:line="440" w:lineRule="exact"/>
              <w:ind w:left="-1" w:leftChars="-1" w:hanging="1"/>
              <w:jc w:val="left"/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kern w:val="0"/>
                <w:sz w:val="28"/>
                <w:szCs w:val="28"/>
              </w:rPr>
              <w:t>安永华明会计师事务所（特殊普通合伙） 精算与风险管理咨询服务总监张佳、经理余诚</w:t>
            </w:r>
          </w:p>
        </w:tc>
      </w:tr>
    </w:tbl>
    <w:p/>
    <w:sectPr>
      <w:pgSz w:w="11906" w:h="16838"/>
      <w:pgMar w:top="1276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Arial Unicode MS"/>
    <w:panose1 w:val="02010609010101010101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6E"/>
    <w:rsid w:val="00003231"/>
    <w:rsid w:val="00130FAD"/>
    <w:rsid w:val="006649D2"/>
    <w:rsid w:val="00722B4E"/>
    <w:rsid w:val="00767E24"/>
    <w:rsid w:val="007D6A92"/>
    <w:rsid w:val="008C716E"/>
    <w:rsid w:val="00B85698"/>
    <w:rsid w:val="00DD53D9"/>
    <w:rsid w:val="00DF6984"/>
    <w:rsid w:val="00E75D51"/>
    <w:rsid w:val="0FD45E17"/>
    <w:rsid w:val="113326C0"/>
    <w:rsid w:val="1F3F712C"/>
    <w:rsid w:val="24A60494"/>
    <w:rsid w:val="2CAF793D"/>
    <w:rsid w:val="45E16F5D"/>
    <w:rsid w:val="78331D35"/>
    <w:rsid w:val="7ED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196</Words>
  <Characters>1119</Characters>
  <Lines>9</Lines>
  <Paragraphs>2</Paragraphs>
  <TotalTime>2</TotalTime>
  <ScaleCrop>false</ScaleCrop>
  <LinksUpToDate>false</LinksUpToDate>
  <CharactersWithSpaces>1313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2020-08-18T08:08:00Z</dcterms:created>
  <dc:creator>xiaoyan_sun</dc:creator>
  <cp:lastModifiedBy>sunny（孙晓燕）</cp:lastModifiedBy>
  <dcterms:modified xsi:type="dcterms:W3CDTF">2020-08-20T01:54:04Z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