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2ABF" w14:textId="77777777" w:rsidR="007C4A52" w:rsidRDefault="000000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647DD0E1" w14:textId="77777777" w:rsidR="007C4A52" w:rsidRDefault="00000000">
      <w:pPr>
        <w:jc w:val="center"/>
        <w:rPr>
          <w:rFonts w:ascii="长城小标宋体" w:eastAsia="长城小标宋体" w:hAnsi="长城小标宋体" w:cs="长城小标宋体"/>
          <w:color w:val="000000"/>
          <w:sz w:val="36"/>
          <w:szCs w:val="36"/>
          <w:shd w:val="clear" w:color="auto" w:fill="FFFFFF"/>
        </w:rPr>
      </w:pPr>
      <w:r>
        <w:rPr>
          <w:rFonts w:ascii="长城小标宋体" w:eastAsia="长城小标宋体" w:hAnsi="长城小标宋体" w:cs="长城小标宋体" w:hint="eastAsia"/>
          <w:color w:val="000000"/>
          <w:sz w:val="36"/>
          <w:szCs w:val="36"/>
          <w:shd w:val="clear" w:color="auto" w:fill="FFFFFF"/>
        </w:rPr>
        <w:t>“固收指数可否成为保险资金投资新利器？”主题培训沙龙会议议程</w:t>
      </w:r>
    </w:p>
    <w:p w14:paraId="49C32C5E" w14:textId="77777777" w:rsidR="007C4A52" w:rsidRDefault="00000000">
      <w:pPr>
        <w:pStyle w:val="a7"/>
        <w:widowControl/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>2024年4月16日（周二）14:00-17:00</w:t>
      </w:r>
    </w:p>
    <w:p w14:paraId="5F89E9D0" w14:textId="77777777" w:rsidR="007C4A52" w:rsidRDefault="00000000" w:rsidP="00ED3B24">
      <w:pPr>
        <w:pStyle w:val="a7"/>
        <w:widowControl/>
        <w:spacing w:after="120"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地点：</w:t>
      </w:r>
      <w:r>
        <w:rPr>
          <w:rFonts w:ascii="仿宋_GB2312" w:eastAsia="仿宋_GB2312" w:hAnsi="仿宋_GB2312" w:cs="仿宋_GB2312" w:hint="eastAsia"/>
          <w:sz w:val="28"/>
          <w:szCs w:val="28"/>
        </w:rPr>
        <w:t>北京海淀区融汇国际大厦5F上海证券交易所北方中心</w:t>
      </w:r>
    </w:p>
    <w:tbl>
      <w:tblPr>
        <w:tblStyle w:val="a8"/>
        <w:tblW w:w="9271" w:type="dxa"/>
        <w:tblLook w:val="04A0" w:firstRow="1" w:lastRow="0" w:firstColumn="1" w:lastColumn="0" w:noHBand="0" w:noVBand="1"/>
      </w:tblPr>
      <w:tblGrid>
        <w:gridCol w:w="1927"/>
        <w:gridCol w:w="3993"/>
        <w:gridCol w:w="3351"/>
      </w:tblGrid>
      <w:tr w:rsidR="007C4A52" w14:paraId="13C85D8D" w14:textId="77777777">
        <w:trPr>
          <w:trHeight w:val="400"/>
        </w:trPr>
        <w:tc>
          <w:tcPr>
            <w:tcW w:w="1927" w:type="dxa"/>
            <w:shd w:val="clear" w:color="auto" w:fill="DAE3F4" w:themeFill="accent1" w:themeFillTint="32"/>
            <w:vAlign w:val="center"/>
          </w:tcPr>
          <w:p w14:paraId="48DBBE55" w14:textId="77777777" w:rsidR="007C4A52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  <w:t>时间</w:t>
            </w:r>
          </w:p>
        </w:tc>
        <w:tc>
          <w:tcPr>
            <w:tcW w:w="3993" w:type="dxa"/>
            <w:shd w:val="clear" w:color="auto" w:fill="DAE3F4" w:themeFill="accent1" w:themeFillTint="32"/>
            <w:vAlign w:val="center"/>
          </w:tcPr>
          <w:p w14:paraId="3121A0B1" w14:textId="77777777" w:rsidR="007C4A52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  <w:t>主题</w:t>
            </w:r>
          </w:p>
        </w:tc>
        <w:tc>
          <w:tcPr>
            <w:tcW w:w="3351" w:type="dxa"/>
            <w:shd w:val="clear" w:color="auto" w:fill="DAE3F4" w:themeFill="accent1" w:themeFillTint="32"/>
            <w:vAlign w:val="center"/>
          </w:tcPr>
          <w:p w14:paraId="721E69A9" w14:textId="77777777" w:rsidR="007C4A52" w:rsidRDefault="00000000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DAE3F4" w:themeFill="accent1" w:themeFillTint="33"/>
              </w:rPr>
              <w:t>演讲嘉宾</w:t>
            </w:r>
          </w:p>
        </w:tc>
      </w:tr>
      <w:tr w:rsidR="0044041B" w14:paraId="54ED3ECE" w14:textId="77777777" w:rsidTr="00820FB8">
        <w:trPr>
          <w:trHeight w:val="1130"/>
        </w:trPr>
        <w:tc>
          <w:tcPr>
            <w:tcW w:w="1927" w:type="dxa"/>
            <w:vAlign w:val="center"/>
          </w:tcPr>
          <w:p w14:paraId="08B9A618" w14:textId="77777777" w:rsidR="0044041B" w:rsidRDefault="0044041B" w:rsidP="00ED3B24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14：00-14：10</w:t>
            </w:r>
          </w:p>
        </w:tc>
        <w:tc>
          <w:tcPr>
            <w:tcW w:w="3993" w:type="dxa"/>
            <w:vAlign w:val="center"/>
          </w:tcPr>
          <w:p w14:paraId="55259F37" w14:textId="77777777" w:rsidR="0044041B" w:rsidRDefault="0044041B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领导致辞</w:t>
            </w:r>
          </w:p>
        </w:tc>
        <w:tc>
          <w:tcPr>
            <w:tcW w:w="3351" w:type="dxa"/>
            <w:vAlign w:val="center"/>
          </w:tcPr>
          <w:p w14:paraId="2E9EDD94" w14:textId="77777777" w:rsidR="0044041B" w:rsidRDefault="0044041B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中国保险资产管理业协会</w:t>
            </w:r>
          </w:p>
          <w:p w14:paraId="1F59D92C" w14:textId="6C64384B" w:rsidR="0044041B" w:rsidRDefault="0044041B" w:rsidP="00ED3B24">
            <w:pPr>
              <w:spacing w:line="560" w:lineRule="exact"/>
              <w:jc w:val="left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</w:pPr>
            <w:r w:rsidRPr="0044041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中证指数有限公司</w:t>
            </w:r>
          </w:p>
        </w:tc>
      </w:tr>
      <w:tr w:rsidR="007C4A52" w14:paraId="3430017A" w14:textId="77777777">
        <w:tc>
          <w:tcPr>
            <w:tcW w:w="1927" w:type="dxa"/>
            <w:vAlign w:val="center"/>
          </w:tcPr>
          <w:p w14:paraId="2C8F4C2A" w14:textId="77777777" w:rsidR="007C4A52" w:rsidRDefault="00000000" w:rsidP="00ED3B24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14：10-14：50</w:t>
            </w:r>
          </w:p>
        </w:tc>
        <w:tc>
          <w:tcPr>
            <w:tcW w:w="3993" w:type="dxa"/>
            <w:vAlign w:val="center"/>
          </w:tcPr>
          <w:p w14:paraId="1069AD3E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主题分享：2024年经济及债市展望：中美债牛格局未改</w:t>
            </w:r>
          </w:p>
        </w:tc>
        <w:tc>
          <w:tcPr>
            <w:tcW w:w="3351" w:type="dxa"/>
            <w:vAlign w:val="center"/>
          </w:tcPr>
          <w:p w14:paraId="4127F007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陈健恒，中金公司研究部固定收益首席分析师</w:t>
            </w:r>
          </w:p>
        </w:tc>
      </w:tr>
      <w:tr w:rsidR="007C4A52" w14:paraId="088D4AC2" w14:textId="77777777">
        <w:tc>
          <w:tcPr>
            <w:tcW w:w="1927" w:type="dxa"/>
            <w:vAlign w:val="center"/>
          </w:tcPr>
          <w:p w14:paraId="30B5835B" w14:textId="77777777" w:rsidR="007C4A52" w:rsidRDefault="00000000" w:rsidP="00ED3B24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14：50-15：20</w:t>
            </w:r>
          </w:p>
        </w:tc>
        <w:tc>
          <w:tcPr>
            <w:tcW w:w="3993" w:type="dxa"/>
            <w:vAlign w:val="center"/>
          </w:tcPr>
          <w:p w14:paraId="3E7D1253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主题分享：当前保险资金债券投资策略及对固定收益类ETF产品的配置策略思考</w:t>
            </w:r>
          </w:p>
        </w:tc>
        <w:tc>
          <w:tcPr>
            <w:tcW w:w="3351" w:type="dxa"/>
            <w:vAlign w:val="center"/>
          </w:tcPr>
          <w:p w14:paraId="5F34D2F1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张莉，国寿资产固定收益投资部业务董事</w:t>
            </w:r>
          </w:p>
        </w:tc>
      </w:tr>
      <w:tr w:rsidR="007C4A52" w14:paraId="0DB4CBE7" w14:textId="77777777">
        <w:tc>
          <w:tcPr>
            <w:tcW w:w="1927" w:type="dxa"/>
            <w:vAlign w:val="center"/>
          </w:tcPr>
          <w:p w14:paraId="2F79BAD6" w14:textId="77777777" w:rsidR="007C4A52" w:rsidRDefault="00000000" w:rsidP="00ED3B24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15：20-15：30</w:t>
            </w:r>
          </w:p>
        </w:tc>
        <w:tc>
          <w:tcPr>
            <w:tcW w:w="7344" w:type="dxa"/>
            <w:gridSpan w:val="2"/>
            <w:vAlign w:val="center"/>
          </w:tcPr>
          <w:p w14:paraId="6C016CB8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会间休息</w:t>
            </w:r>
          </w:p>
        </w:tc>
      </w:tr>
      <w:tr w:rsidR="007C4A52" w14:paraId="04A82634" w14:textId="77777777">
        <w:tc>
          <w:tcPr>
            <w:tcW w:w="1927" w:type="dxa"/>
            <w:vAlign w:val="center"/>
          </w:tcPr>
          <w:p w14:paraId="6BFF1689" w14:textId="77777777" w:rsidR="007C4A52" w:rsidRDefault="00000000" w:rsidP="00ED3B24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15：30-15：50</w:t>
            </w:r>
          </w:p>
        </w:tc>
        <w:tc>
          <w:tcPr>
            <w:tcW w:w="3993" w:type="dxa"/>
            <w:vAlign w:val="center"/>
          </w:tcPr>
          <w:p w14:paraId="341079C2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主题分享：中证债券指数体系及发展</w:t>
            </w:r>
          </w:p>
        </w:tc>
        <w:tc>
          <w:tcPr>
            <w:tcW w:w="3351" w:type="dxa"/>
            <w:vAlign w:val="center"/>
          </w:tcPr>
          <w:p w14:paraId="771BE835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徐志前，中证指数公司研究开发部资深研究员</w:t>
            </w:r>
          </w:p>
        </w:tc>
      </w:tr>
      <w:tr w:rsidR="007C4A52" w14:paraId="5D09B4CA" w14:textId="77777777">
        <w:tc>
          <w:tcPr>
            <w:tcW w:w="1927" w:type="dxa"/>
            <w:vAlign w:val="center"/>
          </w:tcPr>
          <w:p w14:paraId="41CE5090" w14:textId="77777777" w:rsidR="007C4A52" w:rsidRDefault="00000000" w:rsidP="00ED3B24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15：50-16：10</w:t>
            </w:r>
          </w:p>
        </w:tc>
        <w:tc>
          <w:tcPr>
            <w:tcW w:w="3993" w:type="dxa"/>
            <w:vAlign w:val="center"/>
          </w:tcPr>
          <w:p w14:paraId="22F57C95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主题分享：中证债券估值方法及应用</w:t>
            </w:r>
          </w:p>
        </w:tc>
        <w:tc>
          <w:tcPr>
            <w:tcW w:w="3351" w:type="dxa"/>
            <w:vAlign w:val="center"/>
          </w:tcPr>
          <w:p w14:paraId="3EB9128E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陈映洲，中证指数公司估值业务部总监助理</w:t>
            </w:r>
          </w:p>
        </w:tc>
      </w:tr>
      <w:tr w:rsidR="007C4A52" w14:paraId="11DB46D0" w14:textId="77777777">
        <w:tc>
          <w:tcPr>
            <w:tcW w:w="1927" w:type="dxa"/>
            <w:vAlign w:val="center"/>
          </w:tcPr>
          <w:p w14:paraId="5869961A" w14:textId="77777777" w:rsidR="007C4A52" w:rsidRDefault="00000000" w:rsidP="00ED3B24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16：10-16：30</w:t>
            </w:r>
          </w:p>
        </w:tc>
        <w:tc>
          <w:tcPr>
            <w:tcW w:w="3993" w:type="dxa"/>
            <w:vAlign w:val="center"/>
          </w:tcPr>
          <w:p w14:paraId="65B052C9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主题分享：公募REITs市场表现、估值定价及指数介绍</w:t>
            </w:r>
          </w:p>
        </w:tc>
        <w:tc>
          <w:tcPr>
            <w:tcW w:w="3351" w:type="dxa"/>
            <w:vAlign w:val="center"/>
          </w:tcPr>
          <w:p w14:paraId="3864E613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刘润佳，中证指数公司估值业务部经理</w:t>
            </w:r>
          </w:p>
        </w:tc>
      </w:tr>
      <w:tr w:rsidR="007C4A52" w14:paraId="4B04C0B4" w14:textId="77777777">
        <w:trPr>
          <w:trHeight w:val="841"/>
        </w:trPr>
        <w:tc>
          <w:tcPr>
            <w:tcW w:w="1927" w:type="dxa"/>
            <w:vAlign w:val="center"/>
          </w:tcPr>
          <w:p w14:paraId="24386039" w14:textId="77777777" w:rsidR="007C4A52" w:rsidRDefault="00000000" w:rsidP="00ED3B24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16：30-17：00</w:t>
            </w:r>
          </w:p>
        </w:tc>
        <w:tc>
          <w:tcPr>
            <w:tcW w:w="3993" w:type="dxa"/>
            <w:vAlign w:val="center"/>
          </w:tcPr>
          <w:p w14:paraId="21D02933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提问及自由交流</w:t>
            </w:r>
          </w:p>
        </w:tc>
        <w:tc>
          <w:tcPr>
            <w:tcW w:w="3351" w:type="dxa"/>
            <w:vAlign w:val="center"/>
          </w:tcPr>
          <w:p w14:paraId="49C94FBC" w14:textId="77777777" w:rsidR="007C4A52" w:rsidRDefault="00000000" w:rsidP="00ED3B24">
            <w:pPr>
              <w:spacing w:line="560" w:lineRule="exact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参会人员</w:t>
            </w:r>
          </w:p>
        </w:tc>
      </w:tr>
    </w:tbl>
    <w:p w14:paraId="10619854" w14:textId="77777777" w:rsidR="007C4A52" w:rsidRDefault="007C4A52">
      <w:pPr>
        <w:rPr>
          <w:rFonts w:ascii="长城小标宋体" w:eastAsia="长城小标宋体" w:hAnsi="长城小标宋体" w:cs="长城小标宋体"/>
          <w:color w:val="000000"/>
          <w:sz w:val="36"/>
          <w:szCs w:val="36"/>
          <w:shd w:val="clear" w:color="auto" w:fill="FFFFFF"/>
        </w:rPr>
      </w:pPr>
    </w:p>
    <w:sectPr w:rsidR="007C4A5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19D5" w14:textId="77777777" w:rsidR="00787295" w:rsidRDefault="00787295" w:rsidP="002506A9">
      <w:r>
        <w:separator/>
      </w:r>
    </w:p>
  </w:endnote>
  <w:endnote w:type="continuationSeparator" w:id="0">
    <w:p w14:paraId="4A8AB4BF" w14:textId="77777777" w:rsidR="00787295" w:rsidRDefault="00787295" w:rsidP="0025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203" w:usb1="080F0000" w:usb2="00000010" w:usb3="00000000" w:csb0="00160005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AC97" w14:textId="77777777" w:rsidR="00787295" w:rsidRDefault="00787295" w:rsidP="002506A9">
      <w:r>
        <w:separator/>
      </w:r>
    </w:p>
  </w:footnote>
  <w:footnote w:type="continuationSeparator" w:id="0">
    <w:p w14:paraId="7E068745" w14:textId="77777777" w:rsidR="00787295" w:rsidRDefault="00787295" w:rsidP="00250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RlZDBmMjI2YjY5MDhiOTBlYzE4MzhiNzllYmUyNjcifQ=="/>
  </w:docVars>
  <w:rsids>
    <w:rsidRoot w:val="00AE7182"/>
    <w:rsid w:val="000239C5"/>
    <w:rsid w:val="00076D6F"/>
    <w:rsid w:val="0008207B"/>
    <w:rsid w:val="000A3134"/>
    <w:rsid w:val="000A660B"/>
    <w:rsid w:val="00170756"/>
    <w:rsid w:val="001A7C75"/>
    <w:rsid w:val="001C5E71"/>
    <w:rsid w:val="002506A9"/>
    <w:rsid w:val="002A3908"/>
    <w:rsid w:val="002C5CF8"/>
    <w:rsid w:val="00352582"/>
    <w:rsid w:val="003C5305"/>
    <w:rsid w:val="00414765"/>
    <w:rsid w:val="0044041B"/>
    <w:rsid w:val="00477C55"/>
    <w:rsid w:val="004B5292"/>
    <w:rsid w:val="005B78E9"/>
    <w:rsid w:val="0062193F"/>
    <w:rsid w:val="006E2860"/>
    <w:rsid w:val="006E33F4"/>
    <w:rsid w:val="00751822"/>
    <w:rsid w:val="00755F2E"/>
    <w:rsid w:val="00787295"/>
    <w:rsid w:val="007C4A52"/>
    <w:rsid w:val="007D369B"/>
    <w:rsid w:val="008D4D42"/>
    <w:rsid w:val="008F2940"/>
    <w:rsid w:val="009D1B22"/>
    <w:rsid w:val="00A06D7A"/>
    <w:rsid w:val="00A11D29"/>
    <w:rsid w:val="00A4609C"/>
    <w:rsid w:val="00AB028B"/>
    <w:rsid w:val="00AC0220"/>
    <w:rsid w:val="00AE7182"/>
    <w:rsid w:val="00B31CDE"/>
    <w:rsid w:val="00B327E0"/>
    <w:rsid w:val="00B501C8"/>
    <w:rsid w:val="00B73C6C"/>
    <w:rsid w:val="00B862D2"/>
    <w:rsid w:val="00BD0E2F"/>
    <w:rsid w:val="00C073FD"/>
    <w:rsid w:val="00C92B82"/>
    <w:rsid w:val="00CC600C"/>
    <w:rsid w:val="00D22E2A"/>
    <w:rsid w:val="00D66E75"/>
    <w:rsid w:val="00E05F22"/>
    <w:rsid w:val="00ED3B24"/>
    <w:rsid w:val="00F669CC"/>
    <w:rsid w:val="00F73D42"/>
    <w:rsid w:val="14C40025"/>
    <w:rsid w:val="1FB54FFA"/>
    <w:rsid w:val="2C3561C6"/>
    <w:rsid w:val="63F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BFE73D"/>
  <w15:docId w15:val="{68057716-FCDE-4477-A266-27460B9E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jc w:val="left"/>
    </w:pPr>
    <w:rPr>
      <w:rFonts w:cs="Times New Roman"/>
      <w:kern w:val="0"/>
      <w:sz w:val="24"/>
      <w:szCs w:val="2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李腾</cp:lastModifiedBy>
  <cp:revision>54</cp:revision>
  <cp:lastPrinted>2023-08-01T05:51:00Z</cp:lastPrinted>
  <dcterms:created xsi:type="dcterms:W3CDTF">2023-07-30T03:13:00Z</dcterms:created>
  <dcterms:modified xsi:type="dcterms:W3CDTF">2024-04-07T09:41:00Z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679FA9BBBDC84C9C9E3ADBDD70ED8154_13</vt:lpwstr>
  </property>
</Properties>
</file>