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E309" w14:textId="77777777" w:rsidR="006A4AE0" w:rsidRDefault="006A4AE0" w:rsidP="006A4AE0">
      <w:pPr>
        <w:widowControl/>
        <w:spacing w:line="560" w:lineRule="exact"/>
        <w:rPr>
          <w:rFonts w:ascii="黑体" w:eastAsia="黑体" w:hAnsi="黑体" w:cs="Times New Roman" w:hint="eastAsia"/>
          <w:color w:val="000000"/>
          <w:sz w:val="32"/>
        </w:rPr>
      </w:pPr>
      <w:r>
        <w:rPr>
          <w:rFonts w:ascii="黑体" w:eastAsia="黑体" w:hAnsi="黑体" w:cs="Times New Roman" w:hint="eastAsia"/>
          <w:color w:val="000000"/>
          <w:sz w:val="32"/>
        </w:rPr>
        <w:t>附件2</w:t>
      </w:r>
    </w:p>
    <w:p w14:paraId="2973CD54" w14:textId="77777777" w:rsidR="006A4AE0" w:rsidRDefault="006A4AE0" w:rsidP="006A4AE0">
      <w:pPr>
        <w:widowControl/>
        <w:spacing w:line="560" w:lineRule="exact"/>
        <w:rPr>
          <w:rFonts w:ascii="等线" w:eastAsia="仿宋_GB2312" w:hAnsi="等线" w:cs="Times New Roman" w:hint="eastAsia"/>
          <w:color w:val="000000"/>
          <w:sz w:val="32"/>
        </w:rPr>
      </w:pPr>
    </w:p>
    <w:p w14:paraId="5A98C922" w14:textId="77777777" w:rsidR="006A4AE0" w:rsidRDefault="006A4AE0" w:rsidP="006A4AE0">
      <w:pPr>
        <w:jc w:val="center"/>
        <w:rPr>
          <w:rFonts w:ascii="长城小标宋体" w:eastAsia="长城小标宋体"/>
          <w:sz w:val="44"/>
          <w:szCs w:val="44"/>
        </w:rPr>
      </w:pPr>
      <w:r>
        <w:rPr>
          <w:rFonts w:ascii="长城小标宋体" w:eastAsia="长城小标宋体" w:hint="eastAsia"/>
          <w:sz w:val="44"/>
          <w:szCs w:val="44"/>
        </w:rPr>
        <w:t>嘉宾介绍</w:t>
      </w:r>
    </w:p>
    <w:p w14:paraId="32691157" w14:textId="77777777" w:rsidR="006A4AE0" w:rsidRDefault="006A4AE0" w:rsidP="006A4AE0">
      <w:pPr>
        <w:jc w:val="center"/>
        <w:rPr>
          <w:rFonts w:ascii="楷体" w:eastAsia="楷体" w:hAnsi="楷体" w:hint="eastAsia"/>
          <w:sz w:val="32"/>
          <w:szCs w:val="48"/>
        </w:rPr>
      </w:pPr>
      <w:r>
        <w:rPr>
          <w:rFonts w:ascii="楷体" w:eastAsia="楷体" w:hAnsi="楷体" w:hint="eastAsia"/>
          <w:sz w:val="32"/>
          <w:szCs w:val="48"/>
        </w:rPr>
        <w:t>（按出场顺序排序）</w:t>
      </w:r>
    </w:p>
    <w:p w14:paraId="03CB1758" w14:textId="77777777" w:rsidR="006A4AE0" w:rsidRDefault="006A4AE0" w:rsidP="006A4AE0">
      <w:pPr>
        <w:widowControl/>
        <w:jc w:val="left"/>
        <w:rPr>
          <w:rFonts w:ascii="仿宋_GB2312" w:eastAsia="仿宋_GB2312" w:hint="eastAsia"/>
          <w:sz w:val="32"/>
          <w:szCs w:val="32"/>
        </w:rPr>
      </w:pPr>
    </w:p>
    <w:p w14:paraId="214B2B31"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b/>
          <w:bCs/>
          <w:sz w:val="32"/>
          <w:szCs w:val="32"/>
        </w:rPr>
        <w:t>Keith Patton，</w:t>
      </w:r>
      <w:r>
        <w:rPr>
          <w:rFonts w:ascii="仿宋_GB2312" w:eastAsia="仿宋_GB2312" w:hint="eastAsia"/>
          <w:sz w:val="32"/>
          <w:szCs w:val="32"/>
        </w:rPr>
        <w:t>天利投资全球利率主管</w:t>
      </w:r>
    </w:p>
    <w:p w14:paraId="5BC4AE52"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sz w:val="32"/>
          <w:szCs w:val="32"/>
        </w:rPr>
        <w:t>Keith Patton目前在天利投资（Columbia Threadneedle Investments）担任全球利率主管并是固定收益配置委员及多元资产配置委员会的成员，拥有超过30年的固定收益投资及资产配置经验。他于2021年在天利投资收购蒙特利尔银行环球资产管理公司（BMO GAM）的欧洲、中东和非洲地区业务后加入公司。在此之前，他曾在德意志资产管理公司和安本资产管理公司等多家领先的投资管理公司担任资深职位。</w:t>
      </w:r>
    </w:p>
    <w:p w14:paraId="2360707C" w14:textId="77777777" w:rsidR="006A4AE0" w:rsidRDefault="006A4AE0" w:rsidP="006A4AE0">
      <w:pPr>
        <w:widowControl/>
        <w:jc w:val="left"/>
        <w:rPr>
          <w:rFonts w:ascii="仿宋_GB2312" w:eastAsia="仿宋_GB2312" w:hint="eastAsia"/>
          <w:sz w:val="32"/>
          <w:szCs w:val="32"/>
        </w:rPr>
      </w:pPr>
    </w:p>
    <w:p w14:paraId="45C7FFB7"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b/>
          <w:bCs/>
          <w:sz w:val="32"/>
          <w:szCs w:val="32"/>
        </w:rPr>
        <w:t>John O</w:t>
      </w:r>
      <w:proofErr w:type="gramStart"/>
      <w:r>
        <w:rPr>
          <w:rFonts w:ascii="仿宋_GB2312" w:eastAsia="仿宋_GB2312" w:hint="eastAsia"/>
          <w:b/>
          <w:bCs/>
          <w:sz w:val="32"/>
          <w:szCs w:val="32"/>
        </w:rPr>
        <w:t>’</w:t>
      </w:r>
      <w:proofErr w:type="gramEnd"/>
      <w:r>
        <w:rPr>
          <w:rFonts w:ascii="仿宋_GB2312" w:eastAsia="仿宋_GB2312" w:hint="eastAsia"/>
          <w:b/>
          <w:bCs/>
          <w:sz w:val="32"/>
          <w:szCs w:val="32"/>
        </w:rPr>
        <w:t>Toole，</w:t>
      </w:r>
      <w:r>
        <w:rPr>
          <w:rFonts w:ascii="仿宋_GB2312" w:eastAsia="仿宋_GB2312" w:hint="eastAsia"/>
          <w:sz w:val="32"/>
          <w:szCs w:val="32"/>
        </w:rPr>
        <w:t>IAMAC国际专家咨询委员会主席，东方汇</w:t>
      </w:r>
      <w:proofErr w:type="gramStart"/>
      <w:r>
        <w:rPr>
          <w:rFonts w:ascii="仿宋_GB2312" w:eastAsia="仿宋_GB2312" w:hint="eastAsia"/>
          <w:sz w:val="32"/>
          <w:szCs w:val="32"/>
        </w:rPr>
        <w:t>理资产管理多资产</w:t>
      </w:r>
      <w:proofErr w:type="gramEnd"/>
      <w:r>
        <w:rPr>
          <w:rFonts w:ascii="仿宋_GB2312" w:eastAsia="仿宋_GB2312" w:hint="eastAsia"/>
          <w:sz w:val="32"/>
          <w:szCs w:val="32"/>
        </w:rPr>
        <w:t>解决方案首席投资官及全球负责人、保险解决方案全球负责人</w:t>
      </w:r>
    </w:p>
    <w:p w14:paraId="24A9F1F0"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sz w:val="32"/>
          <w:szCs w:val="32"/>
        </w:rPr>
        <w:t>John O</w:t>
      </w:r>
      <w:proofErr w:type="gramStart"/>
      <w:r>
        <w:rPr>
          <w:rFonts w:ascii="仿宋_GB2312" w:eastAsia="仿宋_GB2312" w:hint="eastAsia"/>
          <w:sz w:val="32"/>
          <w:szCs w:val="32"/>
        </w:rPr>
        <w:t>’</w:t>
      </w:r>
      <w:proofErr w:type="gramEnd"/>
      <w:r>
        <w:rPr>
          <w:rFonts w:ascii="仿宋_GB2312" w:eastAsia="仿宋_GB2312" w:hint="eastAsia"/>
          <w:sz w:val="32"/>
          <w:szCs w:val="32"/>
        </w:rPr>
        <w:t>Toole是东方汇</w:t>
      </w:r>
      <w:proofErr w:type="gramStart"/>
      <w:r>
        <w:rPr>
          <w:rFonts w:ascii="仿宋_GB2312" w:eastAsia="仿宋_GB2312" w:hint="eastAsia"/>
          <w:sz w:val="32"/>
          <w:szCs w:val="32"/>
        </w:rPr>
        <w:t>理资管多资产</w:t>
      </w:r>
      <w:proofErr w:type="gramEnd"/>
      <w:r>
        <w:rPr>
          <w:rFonts w:ascii="仿宋_GB2312" w:eastAsia="仿宋_GB2312" w:hint="eastAsia"/>
          <w:sz w:val="32"/>
          <w:szCs w:val="32"/>
        </w:rPr>
        <w:t>解决方案及保险解决方案的全球主管。他负责的领域包括全球宏观资产配置建议、全球保险客户服务和针对监管及市场的解决方案、全球首席投资官外包解决方案等。他于2005年加入东方汇</w:t>
      </w:r>
      <w:proofErr w:type="gramStart"/>
      <w:r>
        <w:rPr>
          <w:rFonts w:ascii="仿宋_GB2312" w:eastAsia="仿宋_GB2312" w:hint="eastAsia"/>
          <w:sz w:val="32"/>
          <w:szCs w:val="32"/>
        </w:rPr>
        <w:t>理</w:t>
      </w:r>
      <w:r>
        <w:rPr>
          <w:rFonts w:ascii="仿宋_GB2312" w:eastAsia="仿宋_GB2312" w:hint="eastAsia"/>
          <w:sz w:val="32"/>
          <w:szCs w:val="32"/>
        </w:rPr>
        <w:lastRenderedPageBreak/>
        <w:t>资管</w:t>
      </w:r>
      <w:proofErr w:type="gramEnd"/>
      <w:r>
        <w:rPr>
          <w:rFonts w:ascii="仿宋_GB2312" w:eastAsia="仿宋_GB2312" w:hint="eastAsia"/>
          <w:sz w:val="32"/>
          <w:szCs w:val="32"/>
        </w:rPr>
        <w:t>，担任基金研究和管理人选拔全球主管。John 的职业生涯始于 Legal &amp; General Plc 的企业融资部。John 是特许金融分析师 (CFA) 持有者。</w:t>
      </w:r>
    </w:p>
    <w:p w14:paraId="26B35197" w14:textId="77777777" w:rsidR="006A4AE0" w:rsidRDefault="006A4AE0" w:rsidP="006A4AE0">
      <w:pPr>
        <w:widowControl/>
        <w:jc w:val="left"/>
        <w:rPr>
          <w:rFonts w:ascii="仿宋_GB2312" w:eastAsia="仿宋_GB2312" w:hint="eastAsia"/>
          <w:sz w:val="32"/>
          <w:szCs w:val="32"/>
        </w:rPr>
      </w:pPr>
    </w:p>
    <w:p w14:paraId="484DD9AF"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b/>
          <w:bCs/>
          <w:sz w:val="32"/>
          <w:szCs w:val="32"/>
        </w:rPr>
        <w:t>John Mullins，</w:t>
      </w:r>
      <w:r>
        <w:rPr>
          <w:rFonts w:ascii="仿宋_GB2312" w:eastAsia="仿宋_GB2312" w:hint="eastAsia"/>
          <w:sz w:val="32"/>
          <w:szCs w:val="32"/>
        </w:rPr>
        <w:t>威灵</w:t>
      </w:r>
      <w:proofErr w:type="gramStart"/>
      <w:r>
        <w:rPr>
          <w:rFonts w:ascii="仿宋_GB2312" w:eastAsia="仿宋_GB2312" w:hint="eastAsia"/>
          <w:sz w:val="32"/>
          <w:szCs w:val="32"/>
        </w:rPr>
        <w:t>顿投资</w:t>
      </w:r>
      <w:proofErr w:type="gramEnd"/>
      <w:r>
        <w:rPr>
          <w:rFonts w:ascii="仿宋_GB2312" w:eastAsia="仿宋_GB2312" w:hint="eastAsia"/>
          <w:sz w:val="32"/>
          <w:szCs w:val="32"/>
        </w:rPr>
        <w:t>管理投资方案部总监</w:t>
      </w:r>
    </w:p>
    <w:p w14:paraId="6DA4E184"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sz w:val="32"/>
          <w:szCs w:val="32"/>
        </w:rPr>
        <w:t>John Mullins现任威灵</w:t>
      </w:r>
      <w:proofErr w:type="gramStart"/>
      <w:r>
        <w:rPr>
          <w:rFonts w:ascii="仿宋_GB2312" w:eastAsia="仿宋_GB2312" w:hint="eastAsia"/>
          <w:sz w:val="32"/>
          <w:szCs w:val="32"/>
        </w:rPr>
        <w:t>顿投资</w:t>
      </w:r>
      <w:proofErr w:type="gramEnd"/>
      <w:r>
        <w:rPr>
          <w:rFonts w:ascii="仿宋_GB2312" w:eastAsia="仿宋_GB2312" w:hint="eastAsia"/>
          <w:sz w:val="32"/>
          <w:szCs w:val="32"/>
        </w:rPr>
        <w:t>管理投资方案部总监，负责领导欧洲、中东和非洲地区投资方案和策略的发展。在2023年加入公司之前，John曾在PIMCO担任</w:t>
      </w:r>
      <w:proofErr w:type="gramStart"/>
      <w:r>
        <w:rPr>
          <w:rFonts w:ascii="仿宋_GB2312" w:eastAsia="仿宋_GB2312" w:hint="eastAsia"/>
          <w:sz w:val="32"/>
          <w:szCs w:val="32"/>
        </w:rPr>
        <w:t>多资产</w:t>
      </w:r>
      <w:proofErr w:type="gramEnd"/>
      <w:r>
        <w:rPr>
          <w:rFonts w:ascii="仿宋_GB2312" w:eastAsia="仿宋_GB2312" w:hint="eastAsia"/>
          <w:sz w:val="32"/>
          <w:szCs w:val="32"/>
        </w:rPr>
        <w:t>和通胀策略高级副总裁。他曾在Santander Asset Management担任</w:t>
      </w:r>
      <w:proofErr w:type="gramStart"/>
      <w:r>
        <w:rPr>
          <w:rFonts w:ascii="仿宋_GB2312" w:eastAsia="仿宋_GB2312" w:hint="eastAsia"/>
          <w:sz w:val="32"/>
          <w:szCs w:val="32"/>
        </w:rPr>
        <w:t>多资产</w:t>
      </w:r>
      <w:proofErr w:type="gramEnd"/>
      <w:r>
        <w:rPr>
          <w:rFonts w:ascii="仿宋_GB2312" w:eastAsia="仿宋_GB2312" w:hint="eastAsia"/>
          <w:sz w:val="32"/>
          <w:szCs w:val="32"/>
        </w:rPr>
        <w:t>方案投资组合经理并在BlackRock担任</w:t>
      </w:r>
      <w:proofErr w:type="gramStart"/>
      <w:r>
        <w:rPr>
          <w:rFonts w:ascii="仿宋_GB2312" w:eastAsia="仿宋_GB2312" w:hint="eastAsia"/>
          <w:sz w:val="32"/>
          <w:szCs w:val="32"/>
        </w:rPr>
        <w:t>多资产</w:t>
      </w:r>
      <w:proofErr w:type="gramEnd"/>
      <w:r>
        <w:rPr>
          <w:rFonts w:ascii="仿宋_GB2312" w:eastAsia="仿宋_GB2312" w:hint="eastAsia"/>
          <w:sz w:val="32"/>
          <w:szCs w:val="32"/>
        </w:rPr>
        <w:t>策略与投资方案副总裁。此前，他曾在德意志银行和美银美林集团担任过不同职务。</w:t>
      </w:r>
    </w:p>
    <w:p w14:paraId="696C8813" w14:textId="77777777" w:rsidR="006A4AE0" w:rsidRDefault="006A4AE0" w:rsidP="006A4AE0">
      <w:pPr>
        <w:widowControl/>
        <w:jc w:val="left"/>
        <w:rPr>
          <w:rFonts w:ascii="仿宋_GB2312" w:eastAsia="仿宋_GB2312" w:hint="eastAsia"/>
          <w:sz w:val="32"/>
          <w:szCs w:val="32"/>
        </w:rPr>
      </w:pPr>
    </w:p>
    <w:p w14:paraId="03AD3C50"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b/>
          <w:bCs/>
          <w:sz w:val="32"/>
          <w:szCs w:val="32"/>
        </w:rPr>
        <w:t>吴桦昌，</w:t>
      </w:r>
      <w:r>
        <w:rPr>
          <w:rFonts w:ascii="仿宋_GB2312" w:eastAsia="仿宋_GB2312" w:hint="eastAsia"/>
          <w:sz w:val="32"/>
          <w:szCs w:val="32"/>
        </w:rPr>
        <w:t>康利亚太董事总经理及投资总监</w:t>
      </w:r>
    </w:p>
    <w:p w14:paraId="27EF82C2"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sz w:val="32"/>
          <w:szCs w:val="32"/>
        </w:rPr>
        <w:t>吴桦昌为康利亚太有限公司 (Conning Asia Pacific Ltd.) 董事总经理及投资总监，负责全球多元收益与量化投资策略及管理，并领导整个投资团队及监督整体投资组合策略、执行和开发。他同时也是康</w:t>
      </w:r>
      <w:proofErr w:type="gramStart"/>
      <w:r>
        <w:rPr>
          <w:rFonts w:ascii="仿宋_GB2312" w:eastAsia="仿宋_GB2312" w:hint="eastAsia"/>
          <w:sz w:val="32"/>
          <w:szCs w:val="32"/>
        </w:rPr>
        <w:t>利全球</w:t>
      </w:r>
      <w:proofErr w:type="gramEnd"/>
      <w:r>
        <w:rPr>
          <w:rFonts w:ascii="仿宋_GB2312" w:eastAsia="仿宋_GB2312" w:hint="eastAsia"/>
          <w:sz w:val="32"/>
          <w:szCs w:val="32"/>
        </w:rPr>
        <w:t>资产配置委员会的成员与其他康利办公室的首席投资总监一同参与其中。他曾在康利亚太担任投资组合经理，负责亚洲信贷投资组合管理并在国泰人寿固定收益投资团队积累了多年经</w:t>
      </w:r>
      <w:r>
        <w:rPr>
          <w:rFonts w:ascii="仿宋_GB2312" w:eastAsia="仿宋_GB2312" w:hint="eastAsia"/>
          <w:sz w:val="32"/>
          <w:szCs w:val="32"/>
        </w:rPr>
        <w:lastRenderedPageBreak/>
        <w:t>验，在宏观经济分析、多元资产策略、全球固定收益和衍生性商品交易方面拥有超过18 年从业经验。</w:t>
      </w:r>
    </w:p>
    <w:p w14:paraId="2A782112" w14:textId="77777777" w:rsidR="006A4AE0" w:rsidRDefault="006A4AE0" w:rsidP="006A4AE0">
      <w:pPr>
        <w:widowControl/>
        <w:jc w:val="left"/>
        <w:rPr>
          <w:rFonts w:ascii="仿宋_GB2312" w:eastAsia="仿宋_GB2312" w:hint="eastAsia"/>
          <w:sz w:val="32"/>
          <w:szCs w:val="32"/>
        </w:rPr>
      </w:pPr>
    </w:p>
    <w:p w14:paraId="5D998C26"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b/>
          <w:bCs/>
          <w:sz w:val="32"/>
          <w:szCs w:val="32"/>
        </w:rPr>
        <w:t>于学宇，</w:t>
      </w:r>
      <w:r>
        <w:rPr>
          <w:rFonts w:ascii="仿宋_GB2312" w:eastAsia="仿宋_GB2312" w:hint="eastAsia"/>
          <w:sz w:val="32"/>
          <w:szCs w:val="32"/>
        </w:rPr>
        <w:t>施罗德投资亚洲区多元资产及固定收益管理总监</w:t>
      </w:r>
    </w:p>
    <w:p w14:paraId="66A27B1F"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sz w:val="32"/>
          <w:szCs w:val="32"/>
        </w:rPr>
        <w:t>于学宇是施罗德投资亚洲地区多元化资产及固定收益管理总监，负责带领施罗德投资于亚太地区的多元化资产及固定收益管理及策略。于学宇在加入施罗德投资前为标准人寿投资（香港）的亚太区多元化资产，固定收益及绝对收益投资总监及团队主管。此前，他于威灵</w:t>
      </w:r>
      <w:proofErr w:type="gramStart"/>
      <w:r>
        <w:rPr>
          <w:rFonts w:ascii="仿宋_GB2312" w:eastAsia="仿宋_GB2312" w:hint="eastAsia"/>
          <w:sz w:val="32"/>
          <w:szCs w:val="32"/>
        </w:rPr>
        <w:t>顿管理</w:t>
      </w:r>
      <w:proofErr w:type="gramEnd"/>
      <w:r>
        <w:rPr>
          <w:rFonts w:ascii="仿宋_GB2312" w:eastAsia="仿宋_GB2312" w:hint="eastAsia"/>
          <w:sz w:val="32"/>
          <w:szCs w:val="32"/>
        </w:rPr>
        <w:t>公司任职。于学宇在金融服务业拥有丰富的经验，曾任职交易</w:t>
      </w:r>
      <w:proofErr w:type="gramStart"/>
      <w:r>
        <w:rPr>
          <w:rFonts w:ascii="仿宋_GB2312" w:eastAsia="仿宋_GB2312" w:hint="eastAsia"/>
          <w:sz w:val="32"/>
          <w:szCs w:val="32"/>
        </w:rPr>
        <w:t>员及投行</w:t>
      </w:r>
      <w:proofErr w:type="gramEnd"/>
      <w:r>
        <w:rPr>
          <w:rFonts w:ascii="仿宋_GB2312" w:eastAsia="仿宋_GB2312" w:hint="eastAsia"/>
          <w:sz w:val="32"/>
          <w:szCs w:val="32"/>
        </w:rPr>
        <w:t>、分析师、基金经理和投资总监。于学</w:t>
      </w:r>
      <w:proofErr w:type="gramStart"/>
      <w:r>
        <w:rPr>
          <w:rFonts w:ascii="仿宋_GB2312" w:eastAsia="仿宋_GB2312" w:hint="eastAsia"/>
          <w:sz w:val="32"/>
          <w:szCs w:val="32"/>
        </w:rPr>
        <w:t>宇持拥有</w:t>
      </w:r>
      <w:proofErr w:type="gramEnd"/>
      <w:r>
        <w:rPr>
          <w:rFonts w:ascii="仿宋_GB2312" w:eastAsia="仿宋_GB2312" w:hint="eastAsia"/>
          <w:sz w:val="32"/>
          <w:szCs w:val="32"/>
        </w:rPr>
        <w:t>特许金融分析师(CFA)资格。</w:t>
      </w:r>
    </w:p>
    <w:p w14:paraId="025A54FE" w14:textId="77777777" w:rsidR="006A4AE0" w:rsidRDefault="006A4AE0" w:rsidP="006A4AE0">
      <w:pPr>
        <w:widowControl/>
        <w:jc w:val="left"/>
        <w:rPr>
          <w:rFonts w:ascii="仿宋_GB2312" w:eastAsia="仿宋_GB2312" w:hint="eastAsia"/>
          <w:sz w:val="32"/>
          <w:szCs w:val="32"/>
        </w:rPr>
      </w:pPr>
    </w:p>
    <w:p w14:paraId="5E7B49FF" w14:textId="77777777" w:rsidR="006A4AE0" w:rsidRDefault="006A4AE0" w:rsidP="006A4AE0">
      <w:pPr>
        <w:widowControl/>
        <w:jc w:val="left"/>
        <w:rPr>
          <w:rFonts w:ascii="仿宋_GB2312" w:eastAsia="仿宋_GB2312" w:hint="eastAsia"/>
          <w:sz w:val="32"/>
          <w:szCs w:val="32"/>
        </w:rPr>
      </w:pPr>
      <w:proofErr w:type="gramStart"/>
      <w:r>
        <w:rPr>
          <w:rFonts w:ascii="仿宋_GB2312" w:eastAsia="仿宋_GB2312" w:hint="eastAsia"/>
          <w:b/>
          <w:bCs/>
          <w:sz w:val="32"/>
          <w:szCs w:val="32"/>
        </w:rPr>
        <w:t>郑镇鸿</w:t>
      </w:r>
      <w:proofErr w:type="gramEnd"/>
      <w:r>
        <w:rPr>
          <w:rFonts w:ascii="仿宋_GB2312" w:eastAsia="仿宋_GB2312" w:hint="eastAsia"/>
          <w:b/>
          <w:bCs/>
          <w:sz w:val="32"/>
          <w:szCs w:val="32"/>
        </w:rPr>
        <w:t>，</w:t>
      </w:r>
      <w:r>
        <w:rPr>
          <w:rFonts w:ascii="仿宋_GB2312" w:eastAsia="仿宋_GB2312" w:hint="eastAsia"/>
          <w:sz w:val="32"/>
          <w:szCs w:val="32"/>
        </w:rPr>
        <w:t>信安保险（香港）精算主管</w:t>
      </w:r>
    </w:p>
    <w:p w14:paraId="3AD29E8C" w14:textId="77777777" w:rsidR="006A4AE0" w:rsidRDefault="006A4AE0" w:rsidP="006A4AE0">
      <w:pPr>
        <w:widowControl/>
        <w:jc w:val="left"/>
        <w:rPr>
          <w:rFonts w:ascii="仿宋_GB2312" w:eastAsia="仿宋_GB2312" w:hint="eastAsia"/>
          <w:sz w:val="32"/>
          <w:szCs w:val="32"/>
        </w:rPr>
      </w:pPr>
      <w:proofErr w:type="gramStart"/>
      <w:r>
        <w:rPr>
          <w:rFonts w:ascii="仿宋_GB2312" w:eastAsia="仿宋_GB2312" w:hint="eastAsia"/>
          <w:sz w:val="32"/>
          <w:szCs w:val="32"/>
        </w:rPr>
        <w:t>郑镇鸿自</w:t>
      </w:r>
      <w:proofErr w:type="gramEnd"/>
      <w:r>
        <w:rPr>
          <w:rFonts w:ascii="仿宋_GB2312" w:eastAsia="仿宋_GB2312" w:hint="eastAsia"/>
          <w:sz w:val="32"/>
          <w:szCs w:val="32"/>
        </w:rPr>
        <w:t xml:space="preserve"> 2021 年起</w:t>
      </w:r>
      <w:proofErr w:type="gramStart"/>
      <w:r>
        <w:rPr>
          <w:rFonts w:ascii="仿宋_GB2312" w:eastAsia="仿宋_GB2312" w:hint="eastAsia"/>
          <w:sz w:val="32"/>
          <w:szCs w:val="32"/>
        </w:rPr>
        <w:t>担任信</w:t>
      </w:r>
      <w:proofErr w:type="gramEnd"/>
      <w:r>
        <w:rPr>
          <w:rFonts w:ascii="仿宋_GB2312" w:eastAsia="仿宋_GB2312" w:hint="eastAsia"/>
          <w:sz w:val="32"/>
          <w:szCs w:val="32"/>
        </w:rPr>
        <w:t>安保险（香港）有限公司精算主管。他负责</w:t>
      </w:r>
      <w:proofErr w:type="gramStart"/>
      <w:r>
        <w:rPr>
          <w:rFonts w:ascii="仿宋_GB2312" w:eastAsia="仿宋_GB2312" w:hint="eastAsia"/>
          <w:sz w:val="32"/>
          <w:szCs w:val="32"/>
        </w:rPr>
        <w:t>监督信</w:t>
      </w:r>
      <w:proofErr w:type="gramEnd"/>
      <w:r>
        <w:rPr>
          <w:rFonts w:ascii="仿宋_GB2312" w:eastAsia="仿宋_GB2312" w:hint="eastAsia"/>
          <w:sz w:val="32"/>
          <w:szCs w:val="32"/>
        </w:rPr>
        <w:t>安的法定估值、财务报告、产品策略、资产负债管理以及财务职能。</w:t>
      </w:r>
      <w:proofErr w:type="gramStart"/>
      <w:r>
        <w:rPr>
          <w:rFonts w:ascii="仿宋_GB2312" w:eastAsia="仿宋_GB2312" w:hint="eastAsia"/>
          <w:sz w:val="32"/>
          <w:szCs w:val="32"/>
        </w:rPr>
        <w:t>郑镇鸿</w:t>
      </w:r>
      <w:proofErr w:type="gramEnd"/>
      <w:r>
        <w:rPr>
          <w:rFonts w:ascii="仿宋_GB2312" w:eastAsia="仿宋_GB2312" w:hint="eastAsia"/>
          <w:sz w:val="32"/>
          <w:szCs w:val="32"/>
        </w:rPr>
        <w:t>在香港人寿保险行业拥有超过18年的资深经验。曾担任安盛、大新人寿和富通保险等在多家国际知名保险集团香港办公室重要职位，专责保险相关的内含价值、经济资本、国际财务报告准则、法定估值和财务报告。</w:t>
      </w:r>
      <w:proofErr w:type="gramStart"/>
      <w:r>
        <w:rPr>
          <w:rFonts w:ascii="仿宋_GB2312" w:eastAsia="仿宋_GB2312" w:hint="eastAsia"/>
          <w:sz w:val="32"/>
          <w:szCs w:val="32"/>
        </w:rPr>
        <w:t>郑镇鸿加入信安前</w:t>
      </w:r>
      <w:proofErr w:type="gramEnd"/>
      <w:r>
        <w:rPr>
          <w:rFonts w:ascii="仿宋_GB2312" w:eastAsia="仿宋_GB2312" w:hint="eastAsia"/>
          <w:sz w:val="32"/>
          <w:szCs w:val="32"/>
        </w:rPr>
        <w:t>于香港保</w:t>
      </w:r>
      <w:r>
        <w:rPr>
          <w:rFonts w:ascii="仿宋_GB2312" w:eastAsia="仿宋_GB2312" w:hint="eastAsia"/>
          <w:sz w:val="32"/>
          <w:szCs w:val="32"/>
        </w:rPr>
        <w:lastRenderedPageBreak/>
        <w:t>险业监管局任职，是设计香港风险资本框架的关键成员之一。</w:t>
      </w:r>
    </w:p>
    <w:p w14:paraId="3D192259" w14:textId="77777777" w:rsidR="006A4AE0" w:rsidRDefault="006A4AE0" w:rsidP="006A4AE0">
      <w:pPr>
        <w:widowControl/>
        <w:jc w:val="left"/>
        <w:rPr>
          <w:rFonts w:ascii="仿宋_GB2312" w:eastAsia="仿宋_GB2312" w:hint="eastAsia"/>
          <w:sz w:val="32"/>
          <w:szCs w:val="32"/>
        </w:rPr>
      </w:pPr>
    </w:p>
    <w:p w14:paraId="084780BC" w14:textId="77777777" w:rsidR="006A4AE0" w:rsidRDefault="006A4AE0" w:rsidP="006A4AE0">
      <w:pPr>
        <w:widowControl/>
        <w:jc w:val="left"/>
        <w:rPr>
          <w:rFonts w:ascii="仿宋_GB2312" w:eastAsia="仿宋_GB2312" w:hint="eastAsia"/>
          <w:sz w:val="32"/>
          <w:szCs w:val="32"/>
        </w:rPr>
      </w:pPr>
      <w:proofErr w:type="gramStart"/>
      <w:r>
        <w:rPr>
          <w:rFonts w:ascii="仿宋_GB2312" w:eastAsia="仿宋_GB2312" w:hint="eastAsia"/>
          <w:b/>
          <w:bCs/>
          <w:sz w:val="32"/>
          <w:szCs w:val="32"/>
        </w:rPr>
        <w:t>彭</w:t>
      </w:r>
      <w:proofErr w:type="gramEnd"/>
      <w:r>
        <w:rPr>
          <w:rFonts w:ascii="仿宋_GB2312" w:eastAsia="仿宋_GB2312" w:hint="eastAsia"/>
          <w:b/>
          <w:bCs/>
          <w:sz w:val="32"/>
          <w:szCs w:val="32"/>
        </w:rPr>
        <w:t xml:space="preserve">  </w:t>
      </w:r>
      <w:proofErr w:type="gramStart"/>
      <w:r>
        <w:rPr>
          <w:rFonts w:ascii="仿宋_GB2312" w:eastAsia="仿宋_GB2312" w:hint="eastAsia"/>
          <w:b/>
          <w:bCs/>
          <w:sz w:val="32"/>
          <w:szCs w:val="32"/>
        </w:rPr>
        <w:t>瀚</w:t>
      </w:r>
      <w:proofErr w:type="gramEnd"/>
      <w:r>
        <w:rPr>
          <w:rFonts w:ascii="仿宋_GB2312" w:eastAsia="仿宋_GB2312" w:hint="eastAsia"/>
          <w:b/>
          <w:bCs/>
          <w:sz w:val="32"/>
          <w:szCs w:val="32"/>
        </w:rPr>
        <w:t>，</w:t>
      </w:r>
      <w:r>
        <w:rPr>
          <w:rFonts w:ascii="仿宋_GB2312" w:eastAsia="仿宋_GB2312" w:hint="eastAsia"/>
          <w:sz w:val="32"/>
          <w:szCs w:val="32"/>
        </w:rPr>
        <w:t>信</w:t>
      </w:r>
      <w:proofErr w:type="gramStart"/>
      <w:r>
        <w:rPr>
          <w:rFonts w:ascii="仿宋_GB2312" w:eastAsia="仿宋_GB2312" w:hint="eastAsia"/>
          <w:sz w:val="32"/>
          <w:szCs w:val="32"/>
        </w:rPr>
        <w:t>安资产</w:t>
      </w:r>
      <w:proofErr w:type="gramEnd"/>
      <w:r>
        <w:rPr>
          <w:rFonts w:ascii="仿宋_GB2312" w:eastAsia="仿宋_GB2312" w:hint="eastAsia"/>
          <w:sz w:val="32"/>
          <w:szCs w:val="32"/>
        </w:rPr>
        <w:t>管理（亚洲）多元资产研究总监</w:t>
      </w:r>
    </w:p>
    <w:p w14:paraId="3A225BF4"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sz w:val="32"/>
          <w:szCs w:val="32"/>
        </w:rPr>
        <w:t>彭瀚</w:t>
      </w:r>
      <w:proofErr w:type="gramStart"/>
      <w:r>
        <w:rPr>
          <w:rFonts w:ascii="仿宋_GB2312" w:eastAsia="仿宋_GB2312" w:hint="eastAsia"/>
          <w:sz w:val="32"/>
          <w:szCs w:val="32"/>
        </w:rPr>
        <w:t>领导信安资产</w:t>
      </w:r>
      <w:proofErr w:type="gramEnd"/>
      <w:r>
        <w:rPr>
          <w:rFonts w:ascii="仿宋_GB2312" w:eastAsia="仿宋_GB2312" w:hint="eastAsia"/>
          <w:sz w:val="32"/>
          <w:szCs w:val="32"/>
        </w:rPr>
        <w:t>配置的多元资产研究团队，通过战略和战术资本市场研究以及开发基本面、技术面和估值模型，为信</w:t>
      </w:r>
      <w:proofErr w:type="gramStart"/>
      <w:r>
        <w:rPr>
          <w:rFonts w:ascii="仿宋_GB2312" w:eastAsia="仿宋_GB2312" w:hint="eastAsia"/>
          <w:sz w:val="32"/>
          <w:szCs w:val="32"/>
        </w:rPr>
        <w:t>安资产</w:t>
      </w:r>
      <w:proofErr w:type="gramEnd"/>
      <w:r>
        <w:rPr>
          <w:rFonts w:ascii="仿宋_GB2312" w:eastAsia="仿宋_GB2312" w:hint="eastAsia"/>
          <w:sz w:val="32"/>
          <w:szCs w:val="32"/>
        </w:rPr>
        <w:t>配置的投资团队提供支持。他还进行宏观经济研究，主要关注中国市场。他于2011年在信安北京入职并于2015年调派至信安香港工作。彭瀚拥有特许金融分析师 (CFA) 资格。</w:t>
      </w:r>
    </w:p>
    <w:p w14:paraId="532E6732" w14:textId="77777777" w:rsidR="006A4AE0" w:rsidRDefault="006A4AE0" w:rsidP="006A4AE0">
      <w:pPr>
        <w:widowControl/>
        <w:jc w:val="left"/>
        <w:rPr>
          <w:rFonts w:ascii="仿宋_GB2312" w:eastAsia="仿宋_GB2312" w:hint="eastAsia"/>
          <w:sz w:val="32"/>
          <w:szCs w:val="32"/>
        </w:rPr>
      </w:pPr>
    </w:p>
    <w:p w14:paraId="3639D4E9" w14:textId="77777777" w:rsidR="006A4AE0" w:rsidRDefault="006A4AE0" w:rsidP="006A4AE0">
      <w:pPr>
        <w:widowControl/>
        <w:jc w:val="left"/>
        <w:rPr>
          <w:rFonts w:ascii="仿宋_GB2312" w:eastAsia="仿宋_GB2312" w:hint="eastAsia"/>
          <w:sz w:val="32"/>
          <w:szCs w:val="32"/>
        </w:rPr>
      </w:pPr>
    </w:p>
    <w:p w14:paraId="63A9D020"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b/>
          <w:bCs/>
          <w:sz w:val="32"/>
          <w:szCs w:val="32"/>
        </w:rPr>
        <w:t>盛  楠，</w:t>
      </w:r>
      <w:r>
        <w:rPr>
          <w:rFonts w:ascii="仿宋_GB2312" w:eastAsia="仿宋_GB2312" w:hint="eastAsia"/>
          <w:sz w:val="32"/>
          <w:szCs w:val="32"/>
        </w:rPr>
        <w:t>摩根资产管理</w:t>
      </w:r>
      <w:proofErr w:type="gramStart"/>
      <w:r>
        <w:rPr>
          <w:rFonts w:ascii="仿宋_GB2312" w:eastAsia="仿宋_GB2312" w:hint="eastAsia"/>
          <w:sz w:val="32"/>
          <w:szCs w:val="32"/>
        </w:rPr>
        <w:t>多资产</w:t>
      </w:r>
      <w:proofErr w:type="gramEnd"/>
      <w:r>
        <w:rPr>
          <w:rFonts w:ascii="仿宋_GB2312" w:eastAsia="仿宋_GB2312" w:hint="eastAsia"/>
          <w:sz w:val="32"/>
          <w:szCs w:val="32"/>
        </w:rPr>
        <w:t>解决方案全球策略师</w:t>
      </w:r>
    </w:p>
    <w:p w14:paraId="04A24188" w14:textId="77777777" w:rsidR="006A4AE0" w:rsidRDefault="006A4AE0" w:rsidP="006A4AE0">
      <w:pPr>
        <w:widowControl/>
        <w:jc w:val="left"/>
        <w:rPr>
          <w:rFonts w:ascii="仿宋_GB2312" w:eastAsia="仿宋_GB2312" w:hint="eastAsia"/>
          <w:sz w:val="32"/>
          <w:szCs w:val="32"/>
        </w:rPr>
      </w:pPr>
      <w:r>
        <w:rPr>
          <w:rFonts w:ascii="仿宋_GB2312" w:eastAsia="仿宋_GB2312" w:hint="eastAsia"/>
          <w:sz w:val="32"/>
          <w:szCs w:val="32"/>
        </w:rPr>
        <w:t>盛楠，执行董事，现任摩根资产管理</w:t>
      </w:r>
      <w:proofErr w:type="gramStart"/>
      <w:r>
        <w:rPr>
          <w:rFonts w:ascii="仿宋_GB2312" w:eastAsia="仿宋_GB2312" w:hint="eastAsia"/>
          <w:sz w:val="32"/>
          <w:szCs w:val="32"/>
        </w:rPr>
        <w:t>多资产</w:t>
      </w:r>
      <w:proofErr w:type="gramEnd"/>
      <w:r>
        <w:rPr>
          <w:rFonts w:ascii="仿宋_GB2312" w:eastAsia="仿宋_GB2312" w:hint="eastAsia"/>
          <w:sz w:val="32"/>
          <w:szCs w:val="32"/>
        </w:rPr>
        <w:t>解决方案全球策略师，主要负责传播</w:t>
      </w:r>
      <w:proofErr w:type="gramStart"/>
      <w:r>
        <w:rPr>
          <w:rFonts w:ascii="仿宋_GB2312" w:eastAsia="仿宋_GB2312" w:hint="eastAsia"/>
          <w:sz w:val="32"/>
          <w:szCs w:val="32"/>
        </w:rPr>
        <w:t>多资产</w:t>
      </w:r>
      <w:proofErr w:type="gramEnd"/>
      <w:r>
        <w:rPr>
          <w:rFonts w:ascii="仿宋_GB2312" w:eastAsia="仿宋_GB2312" w:hint="eastAsia"/>
          <w:sz w:val="32"/>
          <w:szCs w:val="32"/>
        </w:rPr>
        <w:t>投资团队最新的全球经济和资产配置策略，常驻香港。在加入摩根资产管理前，</w:t>
      </w:r>
      <w:proofErr w:type="gramStart"/>
      <w:r>
        <w:rPr>
          <w:rFonts w:ascii="仿宋_GB2312" w:eastAsia="仿宋_GB2312" w:hint="eastAsia"/>
          <w:sz w:val="32"/>
          <w:szCs w:val="32"/>
        </w:rPr>
        <w:t>盛楠曾</w:t>
      </w:r>
      <w:proofErr w:type="gramEnd"/>
      <w:r>
        <w:rPr>
          <w:rFonts w:ascii="仿宋_GB2312" w:eastAsia="仿宋_GB2312" w:hint="eastAsia"/>
          <w:sz w:val="32"/>
          <w:szCs w:val="32"/>
        </w:rPr>
        <w:t>在美银美林担任亚洲及中国经济学家。</w:t>
      </w:r>
    </w:p>
    <w:p w14:paraId="4A4EA272" w14:textId="77777777" w:rsidR="00B8495B" w:rsidRPr="006A4AE0" w:rsidRDefault="00B8495B">
      <w:pPr>
        <w:rPr>
          <w:rFonts w:hint="eastAsia"/>
        </w:rPr>
      </w:pPr>
    </w:p>
    <w:sectPr w:rsidR="00B8495B" w:rsidRPr="006A4AE0" w:rsidSect="006A4AE0">
      <w:footerReference w:type="default" r:id="rId4"/>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长城小标宋体">
    <w:panose1 w:val="0201060901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sz w:val="32"/>
        <w:szCs w:val="32"/>
      </w:rPr>
      <w:id w:val="1923137274"/>
    </w:sdtPr>
    <w:sdtContent>
      <w:p w14:paraId="5FB8B314" w14:textId="77777777" w:rsidR="00000000" w:rsidRDefault="00000000">
        <w:pPr>
          <w:pStyle w:val="ae"/>
          <w:jc w:val="center"/>
          <w:rPr>
            <w:rFonts w:ascii="宋体" w:eastAsia="宋体" w:hAnsi="宋体" w:hint="eastAsia"/>
            <w:sz w:val="32"/>
            <w:szCs w:val="32"/>
          </w:rPr>
        </w:pPr>
        <w:r>
          <w:rPr>
            <w:rFonts w:ascii="宋体" w:eastAsia="宋体" w:hAnsi="宋体"/>
            <w:sz w:val="32"/>
            <w:szCs w:val="32"/>
          </w:rPr>
          <w:fldChar w:fldCharType="begin"/>
        </w:r>
        <w:r>
          <w:rPr>
            <w:rFonts w:ascii="宋体" w:eastAsia="宋体" w:hAnsi="宋体"/>
            <w:sz w:val="32"/>
            <w:szCs w:val="32"/>
          </w:rPr>
          <w:instrText>PAGE   \* MERGEFORMAT</w:instrText>
        </w:r>
        <w:r>
          <w:rPr>
            <w:rFonts w:ascii="宋体" w:eastAsia="宋体" w:hAnsi="宋体"/>
            <w:sz w:val="32"/>
            <w:szCs w:val="32"/>
          </w:rPr>
          <w:fldChar w:fldCharType="separate"/>
        </w:r>
        <w:r>
          <w:rPr>
            <w:rFonts w:ascii="宋体" w:eastAsia="宋体" w:hAnsi="宋体"/>
            <w:sz w:val="32"/>
            <w:szCs w:val="32"/>
            <w:lang w:val="zh-CN"/>
          </w:rPr>
          <w:t>2</w:t>
        </w:r>
        <w:r>
          <w:rPr>
            <w:rFonts w:ascii="宋体" w:eastAsia="宋体" w:hAnsi="宋体"/>
            <w:sz w:val="32"/>
            <w:szCs w:val="3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E0"/>
    <w:rsid w:val="00005E1D"/>
    <w:rsid w:val="00006279"/>
    <w:rsid w:val="00012791"/>
    <w:rsid w:val="00012B9A"/>
    <w:rsid w:val="00030EA5"/>
    <w:rsid w:val="000311DB"/>
    <w:rsid w:val="00031A4C"/>
    <w:rsid w:val="00031F56"/>
    <w:rsid w:val="000359D2"/>
    <w:rsid w:val="00035FD9"/>
    <w:rsid w:val="000421CE"/>
    <w:rsid w:val="00042CF5"/>
    <w:rsid w:val="00045C7B"/>
    <w:rsid w:val="00052A30"/>
    <w:rsid w:val="000940EB"/>
    <w:rsid w:val="000A0288"/>
    <w:rsid w:val="000B3556"/>
    <w:rsid w:val="000B3E64"/>
    <w:rsid w:val="000B532C"/>
    <w:rsid w:val="000E16BF"/>
    <w:rsid w:val="000F7241"/>
    <w:rsid w:val="0010035E"/>
    <w:rsid w:val="00103F7D"/>
    <w:rsid w:val="00105F63"/>
    <w:rsid w:val="001104B4"/>
    <w:rsid w:val="0013177C"/>
    <w:rsid w:val="00136140"/>
    <w:rsid w:val="001407B8"/>
    <w:rsid w:val="00160261"/>
    <w:rsid w:val="00160D84"/>
    <w:rsid w:val="00174373"/>
    <w:rsid w:val="00197C8B"/>
    <w:rsid w:val="001A0ECA"/>
    <w:rsid w:val="001A36B1"/>
    <w:rsid w:val="001A57DD"/>
    <w:rsid w:val="001C77B4"/>
    <w:rsid w:val="001D2E96"/>
    <w:rsid w:val="001E008D"/>
    <w:rsid w:val="001E2E6C"/>
    <w:rsid w:val="001E3AE1"/>
    <w:rsid w:val="001E62C0"/>
    <w:rsid w:val="001F068F"/>
    <w:rsid w:val="001F5316"/>
    <w:rsid w:val="001F5325"/>
    <w:rsid w:val="00201ACD"/>
    <w:rsid w:val="00212F0C"/>
    <w:rsid w:val="002307F6"/>
    <w:rsid w:val="00230E03"/>
    <w:rsid w:val="00232355"/>
    <w:rsid w:val="0023338B"/>
    <w:rsid w:val="002361C6"/>
    <w:rsid w:val="00246498"/>
    <w:rsid w:val="0024674D"/>
    <w:rsid w:val="0024760B"/>
    <w:rsid w:val="0025067E"/>
    <w:rsid w:val="002554A7"/>
    <w:rsid w:val="00261C52"/>
    <w:rsid w:val="002631C1"/>
    <w:rsid w:val="00263757"/>
    <w:rsid w:val="00273A1A"/>
    <w:rsid w:val="00285EE0"/>
    <w:rsid w:val="002A0801"/>
    <w:rsid w:val="002A49ED"/>
    <w:rsid w:val="002B0CB9"/>
    <w:rsid w:val="002B7181"/>
    <w:rsid w:val="002C3018"/>
    <w:rsid w:val="002D1A26"/>
    <w:rsid w:val="002D28F3"/>
    <w:rsid w:val="002E3F9D"/>
    <w:rsid w:val="002E6AC6"/>
    <w:rsid w:val="00303B2F"/>
    <w:rsid w:val="00310174"/>
    <w:rsid w:val="00313236"/>
    <w:rsid w:val="003167D4"/>
    <w:rsid w:val="00317660"/>
    <w:rsid w:val="00320231"/>
    <w:rsid w:val="0033771C"/>
    <w:rsid w:val="00340099"/>
    <w:rsid w:val="003405C8"/>
    <w:rsid w:val="003529E0"/>
    <w:rsid w:val="0036052B"/>
    <w:rsid w:val="00361FB0"/>
    <w:rsid w:val="00363F93"/>
    <w:rsid w:val="00365E49"/>
    <w:rsid w:val="003700C0"/>
    <w:rsid w:val="003726F0"/>
    <w:rsid w:val="003879B5"/>
    <w:rsid w:val="00397AD3"/>
    <w:rsid w:val="003A41E9"/>
    <w:rsid w:val="003C258F"/>
    <w:rsid w:val="003C2768"/>
    <w:rsid w:val="003C309B"/>
    <w:rsid w:val="003C5B5C"/>
    <w:rsid w:val="003D3146"/>
    <w:rsid w:val="003D39E0"/>
    <w:rsid w:val="003D4372"/>
    <w:rsid w:val="003D746A"/>
    <w:rsid w:val="003F2D4F"/>
    <w:rsid w:val="003F2FE2"/>
    <w:rsid w:val="003F492F"/>
    <w:rsid w:val="003F587B"/>
    <w:rsid w:val="00413BFA"/>
    <w:rsid w:val="00422CDE"/>
    <w:rsid w:val="00424176"/>
    <w:rsid w:val="004321E9"/>
    <w:rsid w:val="004379C4"/>
    <w:rsid w:val="00451810"/>
    <w:rsid w:val="00451B6E"/>
    <w:rsid w:val="004527E0"/>
    <w:rsid w:val="00466C22"/>
    <w:rsid w:val="00472450"/>
    <w:rsid w:val="00475141"/>
    <w:rsid w:val="004766B5"/>
    <w:rsid w:val="004825BA"/>
    <w:rsid w:val="004A0250"/>
    <w:rsid w:val="004A025E"/>
    <w:rsid w:val="004A4C22"/>
    <w:rsid w:val="004A5B01"/>
    <w:rsid w:val="004B3C0B"/>
    <w:rsid w:val="004B4742"/>
    <w:rsid w:val="004C2F67"/>
    <w:rsid w:val="004F3E06"/>
    <w:rsid w:val="00510B7D"/>
    <w:rsid w:val="0051411A"/>
    <w:rsid w:val="00524EAE"/>
    <w:rsid w:val="005327B1"/>
    <w:rsid w:val="0053377D"/>
    <w:rsid w:val="00545C79"/>
    <w:rsid w:val="00574830"/>
    <w:rsid w:val="005756C3"/>
    <w:rsid w:val="00583F3F"/>
    <w:rsid w:val="00584077"/>
    <w:rsid w:val="00584C3C"/>
    <w:rsid w:val="005A1EDB"/>
    <w:rsid w:val="005A3A5C"/>
    <w:rsid w:val="005B10DB"/>
    <w:rsid w:val="005B38AE"/>
    <w:rsid w:val="005C0506"/>
    <w:rsid w:val="005C67E5"/>
    <w:rsid w:val="005E16D2"/>
    <w:rsid w:val="005E5405"/>
    <w:rsid w:val="005F1122"/>
    <w:rsid w:val="005F21E8"/>
    <w:rsid w:val="005F2E18"/>
    <w:rsid w:val="005F549B"/>
    <w:rsid w:val="00602333"/>
    <w:rsid w:val="0060771B"/>
    <w:rsid w:val="006101AD"/>
    <w:rsid w:val="00612333"/>
    <w:rsid w:val="006237D7"/>
    <w:rsid w:val="00633DCC"/>
    <w:rsid w:val="00651CA6"/>
    <w:rsid w:val="0065759A"/>
    <w:rsid w:val="00662D47"/>
    <w:rsid w:val="0066587D"/>
    <w:rsid w:val="00674EF2"/>
    <w:rsid w:val="00683420"/>
    <w:rsid w:val="00695086"/>
    <w:rsid w:val="00697903"/>
    <w:rsid w:val="006A38B1"/>
    <w:rsid w:val="006A4AE0"/>
    <w:rsid w:val="006A5A7F"/>
    <w:rsid w:val="006B4D9C"/>
    <w:rsid w:val="006C64CC"/>
    <w:rsid w:val="006C6FCC"/>
    <w:rsid w:val="006D4265"/>
    <w:rsid w:val="006E3476"/>
    <w:rsid w:val="006E43D9"/>
    <w:rsid w:val="006F7FB0"/>
    <w:rsid w:val="00701B6E"/>
    <w:rsid w:val="007135B5"/>
    <w:rsid w:val="00713AD6"/>
    <w:rsid w:val="00714122"/>
    <w:rsid w:val="00715FFC"/>
    <w:rsid w:val="00733A13"/>
    <w:rsid w:val="007357D3"/>
    <w:rsid w:val="00736AD6"/>
    <w:rsid w:val="007442B1"/>
    <w:rsid w:val="007511DD"/>
    <w:rsid w:val="00753E0D"/>
    <w:rsid w:val="00754119"/>
    <w:rsid w:val="00761B0C"/>
    <w:rsid w:val="00763060"/>
    <w:rsid w:val="00770889"/>
    <w:rsid w:val="007716A4"/>
    <w:rsid w:val="00780F10"/>
    <w:rsid w:val="00782BA5"/>
    <w:rsid w:val="007962D7"/>
    <w:rsid w:val="00796C6D"/>
    <w:rsid w:val="00797B71"/>
    <w:rsid w:val="007A207E"/>
    <w:rsid w:val="007A3F3A"/>
    <w:rsid w:val="007A68D1"/>
    <w:rsid w:val="007D6559"/>
    <w:rsid w:val="007E3C35"/>
    <w:rsid w:val="007F5A49"/>
    <w:rsid w:val="0080398F"/>
    <w:rsid w:val="00807EA1"/>
    <w:rsid w:val="00807F78"/>
    <w:rsid w:val="008145B8"/>
    <w:rsid w:val="00815B7F"/>
    <w:rsid w:val="00816EC3"/>
    <w:rsid w:val="0083235D"/>
    <w:rsid w:val="00833C1D"/>
    <w:rsid w:val="00850BA2"/>
    <w:rsid w:val="00855C94"/>
    <w:rsid w:val="008633DF"/>
    <w:rsid w:val="008708B8"/>
    <w:rsid w:val="00872C78"/>
    <w:rsid w:val="008747DB"/>
    <w:rsid w:val="00880327"/>
    <w:rsid w:val="008834A3"/>
    <w:rsid w:val="0088359B"/>
    <w:rsid w:val="008960DF"/>
    <w:rsid w:val="00896F71"/>
    <w:rsid w:val="008A19CB"/>
    <w:rsid w:val="008A1A8B"/>
    <w:rsid w:val="008A4108"/>
    <w:rsid w:val="008A5A8C"/>
    <w:rsid w:val="008C5272"/>
    <w:rsid w:val="008D109C"/>
    <w:rsid w:val="008D1AEF"/>
    <w:rsid w:val="008E3EC6"/>
    <w:rsid w:val="008F4D75"/>
    <w:rsid w:val="008F6CE3"/>
    <w:rsid w:val="009024C3"/>
    <w:rsid w:val="009044EE"/>
    <w:rsid w:val="00905305"/>
    <w:rsid w:val="0090794C"/>
    <w:rsid w:val="00907B3A"/>
    <w:rsid w:val="009262FE"/>
    <w:rsid w:val="009277C8"/>
    <w:rsid w:val="00936522"/>
    <w:rsid w:val="00940271"/>
    <w:rsid w:val="0094130A"/>
    <w:rsid w:val="00944C4D"/>
    <w:rsid w:val="00950CC6"/>
    <w:rsid w:val="0095506D"/>
    <w:rsid w:val="00955900"/>
    <w:rsid w:val="00971202"/>
    <w:rsid w:val="00974B1B"/>
    <w:rsid w:val="00981785"/>
    <w:rsid w:val="00986C57"/>
    <w:rsid w:val="009975FA"/>
    <w:rsid w:val="009A2CBE"/>
    <w:rsid w:val="009A7FF1"/>
    <w:rsid w:val="009B43E2"/>
    <w:rsid w:val="009C01CB"/>
    <w:rsid w:val="009C74E7"/>
    <w:rsid w:val="009D231A"/>
    <w:rsid w:val="009D6885"/>
    <w:rsid w:val="009E169A"/>
    <w:rsid w:val="009E766C"/>
    <w:rsid w:val="009F7BF9"/>
    <w:rsid w:val="00A15186"/>
    <w:rsid w:val="00A15A72"/>
    <w:rsid w:val="00A31031"/>
    <w:rsid w:val="00A401F1"/>
    <w:rsid w:val="00A603D4"/>
    <w:rsid w:val="00A745B0"/>
    <w:rsid w:val="00A77373"/>
    <w:rsid w:val="00A942E0"/>
    <w:rsid w:val="00AA2710"/>
    <w:rsid w:val="00AB20AE"/>
    <w:rsid w:val="00AB22EB"/>
    <w:rsid w:val="00AB4911"/>
    <w:rsid w:val="00AB4A2F"/>
    <w:rsid w:val="00AB5EDD"/>
    <w:rsid w:val="00AB6311"/>
    <w:rsid w:val="00AC4781"/>
    <w:rsid w:val="00AF280A"/>
    <w:rsid w:val="00B1173E"/>
    <w:rsid w:val="00B20DE4"/>
    <w:rsid w:val="00B26FBD"/>
    <w:rsid w:val="00B3470F"/>
    <w:rsid w:val="00B36E0C"/>
    <w:rsid w:val="00B421A5"/>
    <w:rsid w:val="00B43EEE"/>
    <w:rsid w:val="00B43EF0"/>
    <w:rsid w:val="00B45B6A"/>
    <w:rsid w:val="00B52839"/>
    <w:rsid w:val="00B56826"/>
    <w:rsid w:val="00B609AC"/>
    <w:rsid w:val="00B624E2"/>
    <w:rsid w:val="00B65C30"/>
    <w:rsid w:val="00B6617D"/>
    <w:rsid w:val="00B67C79"/>
    <w:rsid w:val="00B70923"/>
    <w:rsid w:val="00B8495B"/>
    <w:rsid w:val="00B919BB"/>
    <w:rsid w:val="00BA6BE9"/>
    <w:rsid w:val="00BC05D2"/>
    <w:rsid w:val="00BC063A"/>
    <w:rsid w:val="00BD1076"/>
    <w:rsid w:val="00BD4BC5"/>
    <w:rsid w:val="00BE2473"/>
    <w:rsid w:val="00BE388E"/>
    <w:rsid w:val="00BF04B4"/>
    <w:rsid w:val="00BF3A6C"/>
    <w:rsid w:val="00C04B39"/>
    <w:rsid w:val="00C26580"/>
    <w:rsid w:val="00C32880"/>
    <w:rsid w:val="00C422E7"/>
    <w:rsid w:val="00C44FEC"/>
    <w:rsid w:val="00C456EC"/>
    <w:rsid w:val="00C51318"/>
    <w:rsid w:val="00C538C9"/>
    <w:rsid w:val="00C5639D"/>
    <w:rsid w:val="00C703FB"/>
    <w:rsid w:val="00C82884"/>
    <w:rsid w:val="00C83735"/>
    <w:rsid w:val="00C919E0"/>
    <w:rsid w:val="00CA1F1A"/>
    <w:rsid w:val="00CA2002"/>
    <w:rsid w:val="00CA637F"/>
    <w:rsid w:val="00CC2A55"/>
    <w:rsid w:val="00CC7F1A"/>
    <w:rsid w:val="00CE1FA1"/>
    <w:rsid w:val="00D0080C"/>
    <w:rsid w:val="00D378F9"/>
    <w:rsid w:val="00D431B0"/>
    <w:rsid w:val="00D44B59"/>
    <w:rsid w:val="00D53141"/>
    <w:rsid w:val="00D86A73"/>
    <w:rsid w:val="00D91914"/>
    <w:rsid w:val="00DA12E2"/>
    <w:rsid w:val="00DA67C9"/>
    <w:rsid w:val="00DC7023"/>
    <w:rsid w:val="00DF6640"/>
    <w:rsid w:val="00E03F51"/>
    <w:rsid w:val="00E06301"/>
    <w:rsid w:val="00E06CFD"/>
    <w:rsid w:val="00E14755"/>
    <w:rsid w:val="00E204BE"/>
    <w:rsid w:val="00E21CFE"/>
    <w:rsid w:val="00E30965"/>
    <w:rsid w:val="00E310E5"/>
    <w:rsid w:val="00E406F9"/>
    <w:rsid w:val="00E55313"/>
    <w:rsid w:val="00E60221"/>
    <w:rsid w:val="00E6037E"/>
    <w:rsid w:val="00E7139D"/>
    <w:rsid w:val="00E757D0"/>
    <w:rsid w:val="00E7631F"/>
    <w:rsid w:val="00E81755"/>
    <w:rsid w:val="00E82D55"/>
    <w:rsid w:val="00E8471F"/>
    <w:rsid w:val="00E87EF4"/>
    <w:rsid w:val="00E9486E"/>
    <w:rsid w:val="00EA13C2"/>
    <w:rsid w:val="00EA541A"/>
    <w:rsid w:val="00EC1CC9"/>
    <w:rsid w:val="00EC59DF"/>
    <w:rsid w:val="00EC792C"/>
    <w:rsid w:val="00EC7B13"/>
    <w:rsid w:val="00ED1466"/>
    <w:rsid w:val="00EE66EB"/>
    <w:rsid w:val="00EF1C39"/>
    <w:rsid w:val="00F0015C"/>
    <w:rsid w:val="00F071EF"/>
    <w:rsid w:val="00F1195E"/>
    <w:rsid w:val="00F13FCC"/>
    <w:rsid w:val="00F33C46"/>
    <w:rsid w:val="00F40008"/>
    <w:rsid w:val="00F405FF"/>
    <w:rsid w:val="00F40F02"/>
    <w:rsid w:val="00F413D7"/>
    <w:rsid w:val="00F4494C"/>
    <w:rsid w:val="00F505C6"/>
    <w:rsid w:val="00F5062A"/>
    <w:rsid w:val="00F62BBF"/>
    <w:rsid w:val="00F701DB"/>
    <w:rsid w:val="00F856DE"/>
    <w:rsid w:val="00F94756"/>
    <w:rsid w:val="00F960F2"/>
    <w:rsid w:val="00F971C1"/>
    <w:rsid w:val="00FA21A4"/>
    <w:rsid w:val="00FA2555"/>
    <w:rsid w:val="00FB2942"/>
    <w:rsid w:val="00FB2D1B"/>
    <w:rsid w:val="00FB673E"/>
    <w:rsid w:val="00FC64BA"/>
    <w:rsid w:val="00FD4E9B"/>
    <w:rsid w:val="00FE2A89"/>
    <w:rsid w:val="00FE3BFB"/>
    <w:rsid w:val="00FE6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FED3"/>
  <w15:chartTrackingRefBased/>
  <w15:docId w15:val="{E44BB527-F682-4B82-B830-290D5C6B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AE0"/>
    <w:pPr>
      <w:widowControl w:val="0"/>
      <w:jc w:val="both"/>
    </w:pPr>
    <w:rPr>
      <w14:ligatures w14:val="standardContextual"/>
    </w:rPr>
  </w:style>
  <w:style w:type="paragraph" w:styleId="1">
    <w:name w:val="heading 1"/>
    <w:basedOn w:val="a"/>
    <w:next w:val="a"/>
    <w:link w:val="10"/>
    <w:uiPriority w:val="9"/>
    <w:qFormat/>
    <w:rsid w:val="006A4AE0"/>
    <w:pPr>
      <w:keepNext/>
      <w:keepLines/>
      <w:spacing w:before="480" w:after="80"/>
      <w:outlineLvl w:val="0"/>
    </w:pPr>
    <w:rPr>
      <w:rFonts w:asciiTheme="majorHAnsi" w:eastAsiaTheme="majorEastAsia" w:hAnsiTheme="majorHAnsi" w:cstheme="majorBidi"/>
      <w:color w:val="0F4761" w:themeColor="accent1" w:themeShade="BF"/>
      <w:sz w:val="48"/>
      <w:szCs w:val="48"/>
      <w14:ligatures w14:val="none"/>
    </w:rPr>
  </w:style>
  <w:style w:type="paragraph" w:styleId="2">
    <w:name w:val="heading 2"/>
    <w:basedOn w:val="a"/>
    <w:next w:val="a"/>
    <w:link w:val="20"/>
    <w:uiPriority w:val="9"/>
    <w:semiHidden/>
    <w:unhideWhenUsed/>
    <w:qFormat/>
    <w:rsid w:val="006A4AE0"/>
    <w:pPr>
      <w:keepNext/>
      <w:keepLines/>
      <w:spacing w:before="160" w:after="80"/>
      <w:outlineLvl w:val="1"/>
    </w:pPr>
    <w:rPr>
      <w:rFonts w:asciiTheme="majorHAnsi" w:eastAsiaTheme="majorEastAsia" w:hAnsiTheme="majorHAnsi" w:cstheme="majorBidi"/>
      <w:color w:val="0F4761" w:themeColor="accent1" w:themeShade="BF"/>
      <w:sz w:val="40"/>
      <w:szCs w:val="40"/>
      <w14:ligatures w14:val="none"/>
    </w:rPr>
  </w:style>
  <w:style w:type="paragraph" w:styleId="3">
    <w:name w:val="heading 3"/>
    <w:basedOn w:val="a"/>
    <w:next w:val="a"/>
    <w:link w:val="30"/>
    <w:uiPriority w:val="9"/>
    <w:semiHidden/>
    <w:unhideWhenUsed/>
    <w:qFormat/>
    <w:rsid w:val="006A4AE0"/>
    <w:pPr>
      <w:keepNext/>
      <w:keepLines/>
      <w:spacing w:before="160" w:after="80"/>
      <w:outlineLvl w:val="2"/>
    </w:pPr>
    <w:rPr>
      <w:rFonts w:asciiTheme="majorHAnsi" w:eastAsiaTheme="majorEastAsia" w:hAnsiTheme="majorHAnsi" w:cstheme="majorBidi"/>
      <w:color w:val="0F4761" w:themeColor="accent1" w:themeShade="BF"/>
      <w:sz w:val="32"/>
      <w:szCs w:val="32"/>
      <w14:ligatures w14:val="none"/>
    </w:rPr>
  </w:style>
  <w:style w:type="paragraph" w:styleId="4">
    <w:name w:val="heading 4"/>
    <w:basedOn w:val="a"/>
    <w:next w:val="a"/>
    <w:link w:val="40"/>
    <w:uiPriority w:val="9"/>
    <w:semiHidden/>
    <w:unhideWhenUsed/>
    <w:qFormat/>
    <w:rsid w:val="006A4AE0"/>
    <w:pPr>
      <w:keepNext/>
      <w:keepLines/>
      <w:spacing w:before="80" w:after="40"/>
      <w:outlineLvl w:val="3"/>
    </w:pPr>
    <w:rPr>
      <w:rFonts w:cstheme="majorBidi"/>
      <w:color w:val="0F4761" w:themeColor="accent1" w:themeShade="BF"/>
      <w:sz w:val="28"/>
      <w:szCs w:val="28"/>
      <w14:ligatures w14:val="none"/>
    </w:rPr>
  </w:style>
  <w:style w:type="paragraph" w:styleId="5">
    <w:name w:val="heading 5"/>
    <w:basedOn w:val="a"/>
    <w:next w:val="a"/>
    <w:link w:val="50"/>
    <w:uiPriority w:val="9"/>
    <w:semiHidden/>
    <w:unhideWhenUsed/>
    <w:qFormat/>
    <w:rsid w:val="006A4AE0"/>
    <w:pPr>
      <w:keepNext/>
      <w:keepLines/>
      <w:spacing w:before="80" w:after="40"/>
      <w:outlineLvl w:val="4"/>
    </w:pPr>
    <w:rPr>
      <w:rFonts w:cstheme="majorBidi"/>
      <w:color w:val="0F4761" w:themeColor="accent1" w:themeShade="BF"/>
      <w:sz w:val="24"/>
      <w:szCs w:val="24"/>
      <w14:ligatures w14:val="none"/>
    </w:rPr>
  </w:style>
  <w:style w:type="paragraph" w:styleId="6">
    <w:name w:val="heading 6"/>
    <w:basedOn w:val="a"/>
    <w:next w:val="a"/>
    <w:link w:val="60"/>
    <w:uiPriority w:val="9"/>
    <w:semiHidden/>
    <w:unhideWhenUsed/>
    <w:qFormat/>
    <w:rsid w:val="006A4AE0"/>
    <w:pPr>
      <w:keepNext/>
      <w:keepLines/>
      <w:spacing w:before="40"/>
      <w:outlineLvl w:val="5"/>
    </w:pPr>
    <w:rPr>
      <w:rFonts w:cstheme="majorBidi"/>
      <w:b/>
      <w:bCs/>
      <w:color w:val="0F4761" w:themeColor="accent1" w:themeShade="BF"/>
      <w14:ligatures w14:val="none"/>
    </w:rPr>
  </w:style>
  <w:style w:type="paragraph" w:styleId="7">
    <w:name w:val="heading 7"/>
    <w:basedOn w:val="a"/>
    <w:next w:val="a"/>
    <w:link w:val="70"/>
    <w:uiPriority w:val="9"/>
    <w:semiHidden/>
    <w:unhideWhenUsed/>
    <w:qFormat/>
    <w:rsid w:val="006A4AE0"/>
    <w:pPr>
      <w:keepNext/>
      <w:keepLines/>
      <w:spacing w:before="40"/>
      <w:outlineLvl w:val="6"/>
    </w:pPr>
    <w:rPr>
      <w:rFonts w:cstheme="majorBidi"/>
      <w:b/>
      <w:bCs/>
      <w:color w:val="595959" w:themeColor="text1" w:themeTint="A6"/>
      <w14:ligatures w14:val="none"/>
    </w:rPr>
  </w:style>
  <w:style w:type="paragraph" w:styleId="8">
    <w:name w:val="heading 8"/>
    <w:basedOn w:val="a"/>
    <w:next w:val="a"/>
    <w:link w:val="80"/>
    <w:uiPriority w:val="9"/>
    <w:semiHidden/>
    <w:unhideWhenUsed/>
    <w:qFormat/>
    <w:rsid w:val="006A4AE0"/>
    <w:pPr>
      <w:keepNext/>
      <w:keepLines/>
      <w:outlineLvl w:val="7"/>
    </w:pPr>
    <w:rPr>
      <w:rFonts w:cstheme="majorBidi"/>
      <w:color w:val="595959" w:themeColor="text1" w:themeTint="A6"/>
      <w14:ligatures w14:val="none"/>
    </w:rPr>
  </w:style>
  <w:style w:type="paragraph" w:styleId="9">
    <w:name w:val="heading 9"/>
    <w:basedOn w:val="a"/>
    <w:next w:val="a"/>
    <w:link w:val="90"/>
    <w:uiPriority w:val="9"/>
    <w:semiHidden/>
    <w:unhideWhenUsed/>
    <w:qFormat/>
    <w:rsid w:val="006A4AE0"/>
    <w:pPr>
      <w:keepNext/>
      <w:keepLines/>
      <w:outlineLvl w:val="8"/>
    </w:pPr>
    <w:rPr>
      <w:rFonts w:eastAsiaTheme="majorEastAsia" w:cstheme="majorBidi"/>
      <w:color w:val="595959" w:themeColor="text1" w:themeTint="A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A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A4A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4A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4AE0"/>
    <w:rPr>
      <w:rFonts w:cstheme="majorBidi"/>
      <w:color w:val="0F4761" w:themeColor="accent1" w:themeShade="BF"/>
      <w:sz w:val="28"/>
      <w:szCs w:val="28"/>
    </w:rPr>
  </w:style>
  <w:style w:type="character" w:customStyle="1" w:styleId="50">
    <w:name w:val="标题 5 字符"/>
    <w:basedOn w:val="a0"/>
    <w:link w:val="5"/>
    <w:uiPriority w:val="9"/>
    <w:semiHidden/>
    <w:rsid w:val="006A4AE0"/>
    <w:rPr>
      <w:rFonts w:cstheme="majorBidi"/>
      <w:color w:val="0F4761" w:themeColor="accent1" w:themeShade="BF"/>
      <w:sz w:val="24"/>
      <w:szCs w:val="24"/>
    </w:rPr>
  </w:style>
  <w:style w:type="character" w:customStyle="1" w:styleId="60">
    <w:name w:val="标题 6 字符"/>
    <w:basedOn w:val="a0"/>
    <w:link w:val="6"/>
    <w:uiPriority w:val="9"/>
    <w:semiHidden/>
    <w:rsid w:val="006A4AE0"/>
    <w:rPr>
      <w:rFonts w:cstheme="majorBidi"/>
      <w:b/>
      <w:bCs/>
      <w:color w:val="0F4761" w:themeColor="accent1" w:themeShade="BF"/>
    </w:rPr>
  </w:style>
  <w:style w:type="character" w:customStyle="1" w:styleId="70">
    <w:name w:val="标题 7 字符"/>
    <w:basedOn w:val="a0"/>
    <w:link w:val="7"/>
    <w:uiPriority w:val="9"/>
    <w:semiHidden/>
    <w:rsid w:val="006A4AE0"/>
    <w:rPr>
      <w:rFonts w:cstheme="majorBidi"/>
      <w:b/>
      <w:bCs/>
      <w:color w:val="595959" w:themeColor="text1" w:themeTint="A6"/>
    </w:rPr>
  </w:style>
  <w:style w:type="character" w:customStyle="1" w:styleId="80">
    <w:name w:val="标题 8 字符"/>
    <w:basedOn w:val="a0"/>
    <w:link w:val="8"/>
    <w:uiPriority w:val="9"/>
    <w:semiHidden/>
    <w:rsid w:val="006A4AE0"/>
    <w:rPr>
      <w:rFonts w:cstheme="majorBidi"/>
      <w:color w:val="595959" w:themeColor="text1" w:themeTint="A6"/>
    </w:rPr>
  </w:style>
  <w:style w:type="character" w:customStyle="1" w:styleId="90">
    <w:name w:val="标题 9 字符"/>
    <w:basedOn w:val="a0"/>
    <w:link w:val="9"/>
    <w:uiPriority w:val="9"/>
    <w:semiHidden/>
    <w:rsid w:val="006A4AE0"/>
    <w:rPr>
      <w:rFonts w:eastAsiaTheme="majorEastAsia" w:cstheme="majorBidi"/>
      <w:color w:val="595959" w:themeColor="text1" w:themeTint="A6"/>
    </w:rPr>
  </w:style>
  <w:style w:type="paragraph" w:styleId="a3">
    <w:name w:val="Title"/>
    <w:basedOn w:val="a"/>
    <w:next w:val="a"/>
    <w:link w:val="a4"/>
    <w:uiPriority w:val="10"/>
    <w:qFormat/>
    <w:rsid w:val="006A4AE0"/>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标题 字符"/>
    <w:basedOn w:val="a0"/>
    <w:link w:val="a3"/>
    <w:uiPriority w:val="10"/>
    <w:rsid w:val="006A4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AE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标题 字符"/>
    <w:basedOn w:val="a0"/>
    <w:link w:val="a5"/>
    <w:uiPriority w:val="11"/>
    <w:rsid w:val="006A4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AE0"/>
    <w:pPr>
      <w:spacing w:before="160" w:after="160"/>
      <w:jc w:val="center"/>
    </w:pPr>
    <w:rPr>
      <w:i/>
      <w:iCs/>
      <w:color w:val="404040" w:themeColor="text1" w:themeTint="BF"/>
      <w14:ligatures w14:val="none"/>
    </w:rPr>
  </w:style>
  <w:style w:type="character" w:customStyle="1" w:styleId="a8">
    <w:name w:val="引用 字符"/>
    <w:basedOn w:val="a0"/>
    <w:link w:val="a7"/>
    <w:uiPriority w:val="29"/>
    <w:rsid w:val="006A4AE0"/>
    <w:rPr>
      <w:i/>
      <w:iCs/>
      <w:color w:val="404040" w:themeColor="text1" w:themeTint="BF"/>
    </w:rPr>
  </w:style>
  <w:style w:type="paragraph" w:styleId="a9">
    <w:name w:val="List Paragraph"/>
    <w:basedOn w:val="a"/>
    <w:uiPriority w:val="34"/>
    <w:qFormat/>
    <w:rsid w:val="006A4AE0"/>
    <w:pPr>
      <w:ind w:left="720"/>
      <w:contextualSpacing/>
    </w:pPr>
    <w:rPr>
      <w14:ligatures w14:val="none"/>
    </w:rPr>
  </w:style>
  <w:style w:type="character" w:styleId="aa">
    <w:name w:val="Intense Emphasis"/>
    <w:basedOn w:val="a0"/>
    <w:uiPriority w:val="21"/>
    <w:qFormat/>
    <w:rsid w:val="006A4AE0"/>
    <w:rPr>
      <w:i/>
      <w:iCs/>
      <w:color w:val="0F4761" w:themeColor="accent1" w:themeShade="BF"/>
    </w:rPr>
  </w:style>
  <w:style w:type="paragraph" w:styleId="ab">
    <w:name w:val="Intense Quote"/>
    <w:basedOn w:val="a"/>
    <w:next w:val="a"/>
    <w:link w:val="ac"/>
    <w:uiPriority w:val="30"/>
    <w:qFormat/>
    <w:rsid w:val="006A4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none"/>
    </w:rPr>
  </w:style>
  <w:style w:type="character" w:customStyle="1" w:styleId="ac">
    <w:name w:val="明显引用 字符"/>
    <w:basedOn w:val="a0"/>
    <w:link w:val="ab"/>
    <w:uiPriority w:val="30"/>
    <w:rsid w:val="006A4AE0"/>
    <w:rPr>
      <w:i/>
      <w:iCs/>
      <w:color w:val="0F4761" w:themeColor="accent1" w:themeShade="BF"/>
    </w:rPr>
  </w:style>
  <w:style w:type="character" w:styleId="ad">
    <w:name w:val="Intense Reference"/>
    <w:basedOn w:val="a0"/>
    <w:uiPriority w:val="32"/>
    <w:qFormat/>
    <w:rsid w:val="006A4AE0"/>
    <w:rPr>
      <w:b/>
      <w:bCs/>
      <w:smallCaps/>
      <w:color w:val="0F4761" w:themeColor="accent1" w:themeShade="BF"/>
      <w:spacing w:val="5"/>
    </w:rPr>
  </w:style>
  <w:style w:type="paragraph" w:styleId="ae">
    <w:name w:val="footer"/>
    <w:basedOn w:val="a"/>
    <w:link w:val="af"/>
    <w:uiPriority w:val="99"/>
    <w:unhideWhenUsed/>
    <w:rsid w:val="006A4AE0"/>
    <w:pPr>
      <w:tabs>
        <w:tab w:val="center" w:pos="4153"/>
        <w:tab w:val="right" w:pos="8306"/>
      </w:tabs>
      <w:snapToGrid w:val="0"/>
      <w:jc w:val="left"/>
    </w:pPr>
    <w:rPr>
      <w:sz w:val="18"/>
      <w:szCs w:val="18"/>
    </w:rPr>
  </w:style>
  <w:style w:type="character" w:customStyle="1" w:styleId="af">
    <w:name w:val="页脚 字符"/>
    <w:basedOn w:val="a0"/>
    <w:link w:val="ae"/>
    <w:uiPriority w:val="99"/>
    <w:rsid w:val="006A4AE0"/>
    <w:rPr>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陈雪鑫</dc:creator>
  <cp:keywords/>
  <dc:description/>
  <cp:lastModifiedBy>陈雪鑫</cp:lastModifiedBy>
  <cp:revision>1</cp:revision>
  <dcterms:created xsi:type="dcterms:W3CDTF">2025-06-03T06:35:00Z</dcterms:created>
  <dcterms:modified xsi:type="dcterms:W3CDTF">2025-06-03T06:36:00Z</dcterms:modified>
</cp:coreProperties>
</file>