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367CC44">
      <w:pPr>
        <w:keepNext w:val="0"/>
        <w:keepLines w:val="0"/>
        <w:pageBreakBefore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附件1</w:t>
      </w:r>
    </w:p>
    <w:p w14:paraId="3F1EBBC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hint="eastAsia" w:ascii="长城小标宋体" w:hAnsi="长城小标宋体" w:eastAsia="长城小标宋体" w:cs="长城小标宋体"/>
          <w:color w:val="000000"/>
          <w:kern w:val="0"/>
          <w:sz w:val="15"/>
          <w:szCs w:val="15"/>
          <w:lang w:val="en-US" w:eastAsia="zh-CN" w:bidi="ar"/>
        </w:rPr>
      </w:pPr>
    </w:p>
    <w:p w14:paraId="6AB908A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hint="eastAsia" w:ascii="长城小标宋体" w:hAnsi="长城小标宋体" w:eastAsia="长城小标宋体" w:cs="长城小标宋体"/>
          <w:sz w:val="44"/>
          <w:szCs w:val="44"/>
          <w:lang w:val="en-US" w:eastAsia="zh-CN"/>
        </w:rPr>
      </w:pPr>
      <w:r>
        <w:rPr>
          <w:rFonts w:hint="eastAsia" w:ascii="长城小标宋体" w:hAnsi="长城小标宋体" w:eastAsia="长城小标宋体" w:cs="长城小标宋体"/>
          <w:color w:val="000000"/>
          <w:kern w:val="0"/>
          <w:sz w:val="44"/>
          <w:szCs w:val="44"/>
          <w:lang w:val="en-US" w:eastAsia="zh-CN" w:bidi="ar"/>
        </w:rPr>
        <w:t>推介项目设置说明</w:t>
      </w:r>
    </w:p>
    <w:p w14:paraId="043201C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320" w:firstLineChars="200"/>
        <w:jc w:val="left"/>
        <w:textAlignment w:val="auto"/>
        <w:rPr>
          <w:rFonts w:hint="eastAsia" w:ascii="仿宋_GB2312" w:eastAsia="仿宋_GB2312"/>
          <w:sz w:val="16"/>
          <w:szCs w:val="16"/>
        </w:rPr>
      </w:pPr>
    </w:p>
    <w:p w14:paraId="13F4BF4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</w:rPr>
        <w:t>本届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推介活动</w:t>
      </w:r>
      <w:r>
        <w:rPr>
          <w:rFonts w:hint="eastAsia" w:ascii="仿宋_GB2312" w:eastAsia="仿宋_GB2312"/>
          <w:sz w:val="32"/>
          <w:szCs w:val="32"/>
        </w:rPr>
        <w:t>分别就证券</w:t>
      </w:r>
      <w:r>
        <w:rPr>
          <w:rFonts w:ascii="仿宋_GB2312" w:eastAsia="仿宋_GB2312"/>
          <w:sz w:val="32"/>
          <w:szCs w:val="32"/>
        </w:rPr>
        <w:t>机构</w:t>
      </w:r>
      <w:r>
        <w:rPr>
          <w:rFonts w:hint="eastAsia" w:ascii="仿宋_GB2312" w:eastAsia="仿宋_GB2312"/>
          <w:sz w:val="32"/>
          <w:szCs w:val="32"/>
          <w:lang w:eastAsia="zh-CN"/>
        </w:rPr>
        <w:t>、</w:t>
      </w:r>
      <w:r>
        <w:rPr>
          <w:rFonts w:ascii="仿宋_GB2312" w:eastAsia="仿宋_GB2312"/>
          <w:sz w:val="32"/>
          <w:szCs w:val="32"/>
        </w:rPr>
        <w:t>公募基金公司</w:t>
      </w:r>
      <w:r>
        <w:rPr>
          <w:rFonts w:hint="eastAsia" w:ascii="仿宋_GB2312" w:eastAsia="仿宋_GB2312"/>
          <w:sz w:val="32"/>
          <w:szCs w:val="32"/>
          <w:lang w:eastAsia="zh-CN"/>
        </w:rPr>
        <w:t>、</w:t>
      </w:r>
      <w:r>
        <w:rPr>
          <w:rFonts w:ascii="仿宋_GB2312" w:eastAsia="仿宋_GB2312"/>
          <w:sz w:val="32"/>
          <w:szCs w:val="32"/>
        </w:rPr>
        <w:t>期货公司和境外投资机构四</w:t>
      </w:r>
      <w:r>
        <w:rPr>
          <w:rFonts w:hint="eastAsia" w:ascii="仿宋_GB2312" w:eastAsia="仿宋_GB2312"/>
          <w:sz w:val="32"/>
          <w:szCs w:val="32"/>
        </w:rPr>
        <w:t>类</w:t>
      </w:r>
      <w:r>
        <w:rPr>
          <w:rFonts w:ascii="仿宋_GB2312" w:eastAsia="仿宋_GB2312"/>
          <w:sz w:val="32"/>
          <w:szCs w:val="32"/>
        </w:rPr>
        <w:t>机构</w:t>
      </w:r>
      <w:r>
        <w:rPr>
          <w:rFonts w:hint="eastAsia" w:ascii="仿宋_GB2312" w:eastAsia="仿宋_GB2312"/>
          <w:sz w:val="32"/>
          <w:szCs w:val="32"/>
        </w:rPr>
        <w:t>，</w:t>
      </w:r>
      <w:r>
        <w:rPr>
          <w:rFonts w:ascii="仿宋_GB2312" w:eastAsia="仿宋_GB2312"/>
          <w:sz w:val="32"/>
          <w:szCs w:val="32"/>
        </w:rPr>
        <w:t>设置</w:t>
      </w:r>
      <w:r>
        <w:rPr>
          <w:rFonts w:hint="eastAsia" w:ascii="仿宋_GB2312" w:eastAsia="仿宋_GB2312"/>
          <w:sz w:val="32"/>
          <w:szCs w:val="32"/>
        </w:rPr>
        <w:t>共</w:t>
      </w:r>
      <w:r>
        <w:rPr>
          <w:rFonts w:ascii="仿宋_GB2312" w:eastAsia="仿宋_GB2312"/>
          <w:sz w:val="32"/>
          <w:szCs w:val="32"/>
        </w:rPr>
        <w:t>计</w:t>
      </w:r>
      <w:r>
        <w:rPr>
          <w:rFonts w:hint="eastAsia" w:ascii="仿宋_GB2312" w:eastAsia="仿宋_GB2312"/>
          <w:sz w:val="32"/>
          <w:szCs w:val="32"/>
        </w:rPr>
        <w:t>二十项</w:t>
      </w:r>
      <w:r>
        <w:rPr>
          <w:rFonts w:ascii="仿宋_GB2312" w:eastAsia="仿宋_GB2312"/>
          <w:sz w:val="32"/>
          <w:szCs w:val="32"/>
        </w:rPr>
        <w:t>推介</w:t>
      </w:r>
      <w:r>
        <w:rPr>
          <w:rFonts w:hint="eastAsia" w:ascii="仿宋_GB2312" w:eastAsia="仿宋_GB2312"/>
          <w:sz w:val="32"/>
          <w:szCs w:val="32"/>
        </w:rPr>
        <w:t>项目</w:t>
      </w:r>
      <w:r>
        <w:rPr>
          <w:rFonts w:hint="eastAsia" w:ascii="仿宋_GB2312" w:hAnsi="仿宋" w:eastAsia="仿宋_GB2312" w:cs="Calibri"/>
          <w:kern w:val="0"/>
          <w:sz w:val="32"/>
          <w:szCs w:val="32"/>
        </w:rPr>
        <w:t>：</w:t>
      </w:r>
    </w:p>
    <w:p w14:paraId="07E720A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黑体" w:hAnsi="黑体" w:eastAsia="黑体" w:cs="Calibri"/>
          <w:kern w:val="0"/>
          <w:sz w:val="32"/>
          <w:szCs w:val="32"/>
        </w:rPr>
      </w:pPr>
      <w:r>
        <w:rPr>
          <w:rFonts w:hint="eastAsia" w:ascii="黑体" w:hAnsi="黑体" w:eastAsia="黑体" w:cs="Calibri"/>
          <w:kern w:val="0"/>
          <w:sz w:val="32"/>
          <w:szCs w:val="32"/>
        </w:rPr>
        <w:t>一、证券机构推介</w:t>
      </w:r>
    </w:p>
    <w:p w14:paraId="20BAABF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本届推介就证券机构（证券公司、证券资管公司、证券研究所等）设置五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个</w:t>
      </w:r>
      <w:r>
        <w:rPr>
          <w:rFonts w:hint="eastAsia" w:ascii="仿宋_GB2312" w:hAnsi="仿宋" w:eastAsia="仿宋_GB2312"/>
          <w:sz w:val="32"/>
          <w:szCs w:val="32"/>
        </w:rPr>
        <w:t>推介项目：</w:t>
      </w:r>
    </w:p>
    <w:p w14:paraId="75372D7C">
      <w:pPr>
        <w:keepNext w:val="0"/>
        <w:keepLines w:val="0"/>
        <w:pageBreakBefore w:val="0"/>
        <w:widowControl w:val="0"/>
        <w:numPr>
          <w:ilvl w:val="0"/>
          <w:numId w:val="1"/>
        </w:numPr>
        <w:tabs>
          <w:tab w:val="left" w:pos="1276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420" w:firstLineChars="0"/>
        <w:textAlignment w:val="auto"/>
        <w:rPr>
          <w:rFonts w:hint="eastAsia" w:ascii="楷体" w:hAnsi="楷体" w:eastAsia="楷体" w:cstheme="minorBidi"/>
          <w:kern w:val="2"/>
          <w:sz w:val="32"/>
          <w:szCs w:val="32"/>
          <w:lang w:val="en-US" w:eastAsia="zh-CN" w:bidi="ar-SA"/>
        </w:rPr>
      </w:pPr>
      <w:r>
        <w:rPr>
          <w:rFonts w:hint="eastAsia" w:ascii="楷体" w:hAnsi="楷体" w:eastAsia="楷体" w:cstheme="minorBidi"/>
          <w:kern w:val="2"/>
          <w:sz w:val="32"/>
          <w:szCs w:val="32"/>
          <w:lang w:val="en-US" w:eastAsia="zh-CN" w:bidi="ar-SA"/>
        </w:rPr>
        <w:t>证券机构推介——综合</w:t>
      </w:r>
    </w:p>
    <w:p w14:paraId="047093A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综合考虑以下指标加权计算得出：证券机构管理保险资金规模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、</w:t>
      </w:r>
      <w:r>
        <w:rPr>
          <w:rFonts w:hint="eastAsia" w:ascii="仿宋_GB2312" w:hAnsi="仿宋" w:eastAsia="仿宋_GB2312"/>
          <w:sz w:val="32"/>
          <w:szCs w:val="32"/>
        </w:rPr>
        <w:t>服务保险机构数量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等</w:t>
      </w:r>
      <w:r>
        <w:rPr>
          <w:rFonts w:hint="eastAsia" w:ascii="仿宋_GB2312" w:hAnsi="仿宋" w:eastAsia="仿宋_GB2312"/>
          <w:sz w:val="32"/>
          <w:szCs w:val="32"/>
        </w:rPr>
        <w:t>；保险机构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调查</w:t>
      </w:r>
      <w:r>
        <w:rPr>
          <w:rFonts w:hint="eastAsia" w:ascii="仿宋_GB2312" w:hAnsi="仿宋" w:eastAsia="仿宋_GB2312"/>
          <w:sz w:val="32"/>
          <w:szCs w:val="32"/>
        </w:rPr>
        <w:t>结果。</w:t>
      </w:r>
    </w:p>
    <w:p w14:paraId="4E99E916">
      <w:pPr>
        <w:keepNext w:val="0"/>
        <w:keepLines w:val="0"/>
        <w:pageBreakBefore w:val="0"/>
        <w:widowControl w:val="0"/>
        <w:numPr>
          <w:ilvl w:val="0"/>
          <w:numId w:val="1"/>
        </w:numPr>
        <w:tabs>
          <w:tab w:val="left" w:pos="1276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420" w:firstLineChars="0"/>
        <w:textAlignment w:val="auto"/>
        <w:rPr>
          <w:rFonts w:hint="eastAsia" w:ascii="楷体" w:hAnsi="楷体" w:eastAsia="楷体" w:cstheme="minorBidi"/>
          <w:kern w:val="2"/>
          <w:sz w:val="32"/>
          <w:szCs w:val="32"/>
          <w:lang w:val="en-US" w:eastAsia="zh-CN" w:bidi="ar-SA"/>
        </w:rPr>
      </w:pPr>
      <w:r>
        <w:rPr>
          <w:rFonts w:hint="eastAsia" w:ascii="楷体" w:hAnsi="楷体" w:eastAsia="楷体" w:cstheme="minorBidi"/>
          <w:kern w:val="2"/>
          <w:sz w:val="32"/>
          <w:szCs w:val="32"/>
          <w:lang w:val="en-US" w:eastAsia="zh-CN" w:bidi="ar-SA"/>
        </w:rPr>
        <w:t>证券机构推介——专户业务</w:t>
      </w:r>
    </w:p>
    <w:p w14:paraId="5D8C60E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综合考虑以下指标加权计算得出：证券机构管理的保险资金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专户</w:t>
      </w:r>
      <w:r>
        <w:rPr>
          <w:rFonts w:hint="eastAsia" w:ascii="仿宋_GB2312" w:hAnsi="仿宋" w:eastAsia="仿宋_GB2312"/>
          <w:sz w:val="32"/>
          <w:szCs w:val="32"/>
        </w:rPr>
        <w:t>业务情况；保险机构对证券机构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专户</w:t>
      </w:r>
      <w:r>
        <w:rPr>
          <w:rFonts w:hint="eastAsia" w:ascii="仿宋_GB2312" w:hAnsi="仿宋" w:eastAsia="仿宋_GB2312"/>
          <w:sz w:val="32"/>
          <w:szCs w:val="32"/>
        </w:rPr>
        <w:t>业务情况的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调查</w:t>
      </w:r>
      <w:r>
        <w:rPr>
          <w:rFonts w:hint="eastAsia" w:ascii="仿宋_GB2312" w:hAnsi="仿宋" w:eastAsia="仿宋_GB2312"/>
          <w:sz w:val="32"/>
          <w:szCs w:val="32"/>
        </w:rPr>
        <w:t>结果。</w:t>
      </w:r>
    </w:p>
    <w:p w14:paraId="50EDFF9B">
      <w:pPr>
        <w:keepNext w:val="0"/>
        <w:keepLines w:val="0"/>
        <w:pageBreakBefore w:val="0"/>
        <w:widowControl w:val="0"/>
        <w:numPr>
          <w:ilvl w:val="0"/>
          <w:numId w:val="1"/>
        </w:numPr>
        <w:tabs>
          <w:tab w:val="left" w:pos="1276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420" w:firstLineChars="0"/>
        <w:textAlignment w:val="auto"/>
        <w:rPr>
          <w:rFonts w:hint="eastAsia" w:ascii="楷体" w:hAnsi="楷体" w:eastAsia="楷体" w:cstheme="minorBidi"/>
          <w:kern w:val="2"/>
          <w:sz w:val="32"/>
          <w:szCs w:val="32"/>
          <w:lang w:val="en-US" w:eastAsia="zh-CN" w:bidi="ar-SA"/>
        </w:rPr>
      </w:pPr>
      <w:r>
        <w:rPr>
          <w:rFonts w:hint="eastAsia" w:ascii="楷体" w:hAnsi="楷体" w:eastAsia="楷体" w:cstheme="minorBidi"/>
          <w:kern w:val="2"/>
          <w:sz w:val="32"/>
          <w:szCs w:val="32"/>
          <w:lang w:val="en-US" w:eastAsia="zh-CN" w:bidi="ar-SA"/>
        </w:rPr>
        <w:t>证券机构推介——研究业务</w:t>
      </w:r>
    </w:p>
    <w:p w14:paraId="5529298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综合考虑以下指标加权计算得出：证券机构报送的研究业务情况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；</w:t>
      </w:r>
      <w:r>
        <w:rPr>
          <w:rFonts w:hint="eastAsia" w:ascii="仿宋_GB2312" w:hAnsi="仿宋" w:eastAsia="仿宋_GB2312"/>
          <w:sz w:val="32"/>
          <w:szCs w:val="32"/>
        </w:rPr>
        <w:t>保险机构对该公司研究业务情况的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调查</w:t>
      </w:r>
      <w:r>
        <w:rPr>
          <w:rFonts w:hint="eastAsia" w:ascii="仿宋_GB2312" w:hAnsi="仿宋" w:eastAsia="仿宋_GB2312"/>
          <w:sz w:val="32"/>
          <w:szCs w:val="32"/>
        </w:rPr>
        <w:t>结果。</w:t>
      </w:r>
    </w:p>
    <w:p w14:paraId="535BF325">
      <w:pPr>
        <w:keepNext w:val="0"/>
        <w:keepLines w:val="0"/>
        <w:pageBreakBefore w:val="0"/>
        <w:widowControl w:val="0"/>
        <w:numPr>
          <w:ilvl w:val="0"/>
          <w:numId w:val="1"/>
        </w:numPr>
        <w:tabs>
          <w:tab w:val="left" w:pos="1276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420" w:firstLineChars="0"/>
        <w:textAlignment w:val="auto"/>
        <w:rPr>
          <w:rFonts w:hint="eastAsia" w:ascii="楷体" w:hAnsi="楷体" w:eastAsia="楷体" w:cstheme="minorBidi"/>
          <w:kern w:val="2"/>
          <w:sz w:val="32"/>
          <w:szCs w:val="32"/>
          <w:lang w:val="en-US" w:eastAsia="zh-CN" w:bidi="ar-SA"/>
        </w:rPr>
      </w:pPr>
      <w:r>
        <w:rPr>
          <w:rFonts w:hint="eastAsia" w:ascii="楷体" w:hAnsi="楷体" w:eastAsia="楷体" w:cstheme="minorBidi"/>
          <w:kern w:val="2"/>
          <w:sz w:val="32"/>
          <w:szCs w:val="32"/>
          <w:lang w:val="en-US" w:eastAsia="zh-CN" w:bidi="ar-SA"/>
        </w:rPr>
        <w:t>证券机构推介——销售服务</w:t>
      </w:r>
    </w:p>
    <w:p w14:paraId="7CDF7C4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综合考虑以下指标加权计算得出：证券机构报送的相关销售服务情况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；</w:t>
      </w:r>
      <w:r>
        <w:rPr>
          <w:rFonts w:hint="eastAsia" w:ascii="仿宋_GB2312" w:hAnsi="仿宋" w:eastAsia="仿宋_GB2312"/>
          <w:sz w:val="32"/>
          <w:szCs w:val="32"/>
        </w:rPr>
        <w:t>保险机构对该公司销售服务情况的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调查</w:t>
      </w:r>
      <w:r>
        <w:rPr>
          <w:rFonts w:hint="eastAsia" w:ascii="仿宋_GB2312" w:hAnsi="仿宋" w:eastAsia="仿宋_GB2312"/>
          <w:sz w:val="32"/>
          <w:szCs w:val="32"/>
        </w:rPr>
        <w:t>结果。</w:t>
      </w:r>
    </w:p>
    <w:p w14:paraId="73E700A7">
      <w:pPr>
        <w:keepNext w:val="0"/>
        <w:keepLines w:val="0"/>
        <w:pageBreakBefore w:val="0"/>
        <w:widowControl w:val="0"/>
        <w:numPr>
          <w:ilvl w:val="0"/>
          <w:numId w:val="1"/>
        </w:numPr>
        <w:tabs>
          <w:tab w:val="left" w:pos="1276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420" w:firstLineChars="0"/>
        <w:textAlignment w:val="auto"/>
        <w:rPr>
          <w:rFonts w:hint="default" w:ascii="楷体" w:hAnsi="楷体" w:eastAsia="楷体" w:cstheme="minorBidi"/>
          <w:kern w:val="2"/>
          <w:sz w:val="32"/>
          <w:szCs w:val="32"/>
          <w:lang w:val="en-US" w:eastAsia="zh-CN" w:bidi="ar-SA"/>
        </w:rPr>
      </w:pPr>
      <w:r>
        <w:rPr>
          <w:rFonts w:hint="eastAsia" w:ascii="楷体" w:hAnsi="楷体" w:eastAsia="楷体" w:cstheme="minorBidi"/>
          <w:kern w:val="2"/>
          <w:sz w:val="32"/>
          <w:szCs w:val="32"/>
          <w:lang w:val="en-US" w:eastAsia="zh-CN" w:bidi="ar-SA"/>
        </w:rPr>
        <w:t>证券机构推介——业务潜力</w:t>
      </w:r>
    </w:p>
    <w:p w14:paraId="6B8FCB6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综合考虑以下指标加权计算得出：证券机构报送的管理保险资金规模、服务保险机构数量较上一年度的增量变化；保险机构的调查情况等。</w:t>
      </w:r>
    </w:p>
    <w:p w14:paraId="5B064CB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仿宋_GB2312" w:hAnsi="仿宋" w:eastAsia="仿宋_GB2312" w:cs="Calibri"/>
          <w:kern w:val="0"/>
          <w:sz w:val="32"/>
          <w:szCs w:val="32"/>
        </w:rPr>
      </w:pPr>
      <w:r>
        <w:rPr>
          <w:rFonts w:hint="eastAsia" w:ascii="黑体" w:hAnsi="黑体" w:eastAsia="黑体" w:cs="Calibri"/>
          <w:kern w:val="0"/>
          <w:sz w:val="32"/>
          <w:szCs w:val="32"/>
        </w:rPr>
        <w:t>二、公募基金公司推介</w:t>
      </w:r>
    </w:p>
    <w:p w14:paraId="1CBC854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本届推介就公募基金公司设置六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个</w:t>
      </w:r>
      <w:r>
        <w:rPr>
          <w:rFonts w:hint="eastAsia" w:ascii="仿宋_GB2312" w:hAnsi="仿宋" w:eastAsia="仿宋_GB2312"/>
          <w:sz w:val="32"/>
          <w:szCs w:val="32"/>
        </w:rPr>
        <w:t>推介项目：</w:t>
      </w:r>
    </w:p>
    <w:p w14:paraId="73869E2D">
      <w:pPr>
        <w:keepNext w:val="0"/>
        <w:keepLines w:val="0"/>
        <w:pageBreakBefore w:val="0"/>
        <w:widowControl w:val="0"/>
        <w:numPr>
          <w:ilvl w:val="0"/>
          <w:numId w:val="2"/>
        </w:numPr>
        <w:tabs>
          <w:tab w:val="left" w:pos="1276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420" w:firstLineChars="0"/>
        <w:textAlignment w:val="auto"/>
        <w:rPr>
          <w:rFonts w:hint="eastAsia" w:ascii="楷体" w:hAnsi="楷体" w:eastAsia="楷体" w:cstheme="minorBidi"/>
          <w:kern w:val="2"/>
          <w:sz w:val="32"/>
          <w:szCs w:val="32"/>
          <w:lang w:val="en-US" w:eastAsia="zh-CN" w:bidi="ar-SA"/>
        </w:rPr>
      </w:pPr>
      <w:r>
        <w:rPr>
          <w:rFonts w:hint="eastAsia" w:ascii="楷体" w:hAnsi="楷体" w:eastAsia="楷体" w:cstheme="minorBidi"/>
          <w:kern w:val="2"/>
          <w:sz w:val="32"/>
          <w:szCs w:val="32"/>
          <w:lang w:val="en-US" w:eastAsia="zh-CN" w:bidi="ar-SA"/>
        </w:rPr>
        <w:t>公募基金公司推介——综合</w:t>
      </w:r>
    </w:p>
    <w:p w14:paraId="3E58604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综合考虑以下指标加权计算得出：公募基金公司管理保险资金规模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；</w:t>
      </w:r>
      <w:r>
        <w:rPr>
          <w:rFonts w:hint="eastAsia" w:ascii="仿宋_GB2312" w:hAnsi="仿宋" w:eastAsia="仿宋_GB2312"/>
          <w:sz w:val="32"/>
          <w:szCs w:val="32"/>
        </w:rPr>
        <w:t>保险机构对其开展业务合作和服务情况的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调查</w:t>
      </w:r>
      <w:r>
        <w:rPr>
          <w:rFonts w:hint="eastAsia" w:ascii="仿宋_GB2312" w:hAnsi="仿宋" w:eastAsia="仿宋_GB2312"/>
          <w:sz w:val="32"/>
          <w:szCs w:val="32"/>
        </w:rPr>
        <w:t>结果。</w:t>
      </w:r>
    </w:p>
    <w:p w14:paraId="2A9D2956">
      <w:pPr>
        <w:keepNext w:val="0"/>
        <w:keepLines w:val="0"/>
        <w:pageBreakBefore w:val="0"/>
        <w:widowControl w:val="0"/>
        <w:numPr>
          <w:ilvl w:val="0"/>
          <w:numId w:val="2"/>
        </w:numPr>
        <w:tabs>
          <w:tab w:val="left" w:pos="1276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420" w:firstLineChars="0"/>
        <w:textAlignment w:val="auto"/>
        <w:rPr>
          <w:rFonts w:hint="eastAsia" w:ascii="楷体" w:hAnsi="楷体" w:eastAsia="楷体" w:cstheme="minorBidi"/>
          <w:kern w:val="2"/>
          <w:sz w:val="32"/>
          <w:szCs w:val="32"/>
          <w:lang w:val="en-US" w:eastAsia="zh-CN" w:bidi="ar-SA"/>
        </w:rPr>
      </w:pPr>
      <w:r>
        <w:rPr>
          <w:rFonts w:hint="eastAsia" w:ascii="楷体" w:hAnsi="楷体" w:eastAsia="楷体" w:cstheme="minorBidi"/>
          <w:kern w:val="2"/>
          <w:sz w:val="32"/>
          <w:szCs w:val="32"/>
          <w:lang w:val="en-US" w:eastAsia="zh-CN" w:bidi="ar-SA"/>
        </w:rPr>
        <w:t>公募基金公司推介——专户业务</w:t>
      </w:r>
    </w:p>
    <w:p w14:paraId="7236369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仿宋_GB2312" w:hAnsi="楷体" w:eastAsia="仿宋_GB2312"/>
          <w:sz w:val="32"/>
          <w:szCs w:val="32"/>
          <w:highlight w:val="none"/>
        </w:rPr>
      </w:pPr>
      <w:r>
        <w:rPr>
          <w:rFonts w:hint="eastAsia" w:ascii="仿宋_GB2312" w:hAnsi="仿宋" w:eastAsia="仿宋_GB2312"/>
          <w:sz w:val="32"/>
          <w:szCs w:val="32"/>
        </w:rPr>
        <w:t>综合考虑以下指标加权计算得出：公募基金公司管理保险资金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专户业务</w:t>
      </w:r>
      <w:r>
        <w:rPr>
          <w:rFonts w:hint="eastAsia" w:ascii="仿宋_GB2312" w:hAnsi="仿宋" w:eastAsia="仿宋_GB2312"/>
          <w:sz w:val="32"/>
          <w:szCs w:val="32"/>
        </w:rPr>
        <w:t>情况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；</w:t>
      </w:r>
      <w:r>
        <w:rPr>
          <w:rFonts w:hint="eastAsia" w:ascii="仿宋_GB2312" w:hAnsi="仿宋" w:eastAsia="仿宋_GB2312"/>
          <w:sz w:val="32"/>
          <w:szCs w:val="32"/>
        </w:rPr>
        <w:t>保险机构对公募基金公司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专户</w:t>
      </w:r>
      <w:r>
        <w:rPr>
          <w:rFonts w:hint="eastAsia" w:ascii="仿宋_GB2312" w:hAnsi="仿宋" w:eastAsia="仿宋_GB2312"/>
          <w:sz w:val="32"/>
          <w:szCs w:val="32"/>
        </w:rPr>
        <w:t>业务情况的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调查</w:t>
      </w:r>
      <w:r>
        <w:rPr>
          <w:rFonts w:hint="eastAsia" w:ascii="仿宋_GB2312" w:hAnsi="仿宋" w:eastAsia="仿宋_GB2312"/>
          <w:sz w:val="32"/>
          <w:szCs w:val="32"/>
        </w:rPr>
        <w:t>结果。</w:t>
      </w:r>
    </w:p>
    <w:p w14:paraId="54C9130C">
      <w:pPr>
        <w:keepNext w:val="0"/>
        <w:keepLines w:val="0"/>
        <w:pageBreakBefore w:val="0"/>
        <w:widowControl w:val="0"/>
        <w:numPr>
          <w:ilvl w:val="0"/>
          <w:numId w:val="2"/>
        </w:numPr>
        <w:tabs>
          <w:tab w:val="left" w:pos="1276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420" w:firstLineChars="0"/>
        <w:textAlignment w:val="auto"/>
        <w:rPr>
          <w:rFonts w:hint="eastAsia" w:ascii="楷体" w:hAnsi="楷体" w:eastAsia="楷体" w:cstheme="minorBidi"/>
          <w:kern w:val="2"/>
          <w:sz w:val="32"/>
          <w:szCs w:val="32"/>
          <w:lang w:val="en-US" w:eastAsia="zh-CN" w:bidi="ar-SA"/>
        </w:rPr>
      </w:pPr>
      <w:r>
        <w:rPr>
          <w:rFonts w:hint="eastAsia" w:ascii="楷体" w:hAnsi="楷体" w:eastAsia="楷体" w:cstheme="minorBidi"/>
          <w:kern w:val="2"/>
          <w:sz w:val="32"/>
          <w:szCs w:val="32"/>
          <w:lang w:val="en-US" w:eastAsia="zh-CN" w:bidi="ar-SA"/>
        </w:rPr>
        <w:t>公募基金公司推介——权益类公募产品业务</w:t>
      </w:r>
    </w:p>
    <w:p w14:paraId="6B21F85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综合考虑以下指标加权计算得出：公募基金公司报送的关于保险机构直接投资该公司权益类公募产品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（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股票型基金、混合偏股型基金等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）</w:t>
      </w:r>
      <w:r>
        <w:rPr>
          <w:rFonts w:hint="eastAsia" w:ascii="仿宋_GB2312" w:hAnsi="仿宋" w:eastAsia="仿宋_GB2312"/>
          <w:sz w:val="32"/>
          <w:szCs w:val="32"/>
        </w:rPr>
        <w:t>的相关数据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；</w:t>
      </w:r>
      <w:r>
        <w:rPr>
          <w:rFonts w:hint="eastAsia" w:ascii="仿宋_GB2312" w:hAnsi="仿宋" w:eastAsia="仿宋_GB2312"/>
          <w:sz w:val="32"/>
          <w:szCs w:val="32"/>
        </w:rPr>
        <w:t>保险机构对该公司权益类公募产品业务情况的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调查</w:t>
      </w:r>
      <w:r>
        <w:rPr>
          <w:rFonts w:hint="eastAsia" w:ascii="仿宋_GB2312" w:hAnsi="仿宋" w:eastAsia="仿宋_GB2312"/>
          <w:sz w:val="32"/>
          <w:szCs w:val="32"/>
        </w:rPr>
        <w:t>结果。</w:t>
      </w:r>
    </w:p>
    <w:p w14:paraId="73800A4B">
      <w:pPr>
        <w:keepNext w:val="0"/>
        <w:keepLines w:val="0"/>
        <w:pageBreakBefore w:val="0"/>
        <w:widowControl w:val="0"/>
        <w:numPr>
          <w:ilvl w:val="0"/>
          <w:numId w:val="2"/>
        </w:numPr>
        <w:tabs>
          <w:tab w:val="left" w:pos="1276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420" w:firstLineChars="0"/>
        <w:textAlignment w:val="auto"/>
        <w:rPr>
          <w:rFonts w:hint="eastAsia" w:ascii="楷体" w:hAnsi="楷体" w:eastAsia="楷体" w:cstheme="minorBidi"/>
          <w:kern w:val="2"/>
          <w:sz w:val="32"/>
          <w:szCs w:val="32"/>
          <w:lang w:val="en-US" w:eastAsia="zh-CN" w:bidi="ar-SA"/>
        </w:rPr>
      </w:pPr>
      <w:r>
        <w:rPr>
          <w:rFonts w:hint="eastAsia" w:ascii="楷体" w:hAnsi="楷体" w:eastAsia="楷体" w:cstheme="minorBidi"/>
          <w:kern w:val="2"/>
          <w:sz w:val="32"/>
          <w:szCs w:val="32"/>
          <w:lang w:val="en-US" w:eastAsia="zh-CN" w:bidi="ar-SA"/>
        </w:rPr>
        <w:t>公募基金公司推介——固收类公募产品业务</w:t>
      </w:r>
    </w:p>
    <w:p w14:paraId="49C8913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综合考虑以下指标加权计算得出：公募基金公司报送的关于保险机构直接投资该公司固收类公募产品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（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债券型基金、混合偏债型基金等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）</w:t>
      </w:r>
      <w:r>
        <w:rPr>
          <w:rFonts w:hint="eastAsia" w:ascii="仿宋_GB2312" w:hAnsi="仿宋" w:eastAsia="仿宋_GB2312"/>
          <w:sz w:val="32"/>
          <w:szCs w:val="32"/>
        </w:rPr>
        <w:t>的相关数据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；</w:t>
      </w:r>
      <w:r>
        <w:rPr>
          <w:rFonts w:hint="eastAsia" w:ascii="仿宋_GB2312" w:hAnsi="仿宋" w:eastAsia="仿宋_GB2312"/>
          <w:sz w:val="32"/>
          <w:szCs w:val="32"/>
        </w:rPr>
        <w:t>保险机构对该公司固收类公募产品业务情况的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调查</w:t>
      </w:r>
      <w:r>
        <w:rPr>
          <w:rFonts w:hint="eastAsia" w:ascii="仿宋_GB2312" w:hAnsi="仿宋" w:eastAsia="仿宋_GB2312"/>
          <w:sz w:val="32"/>
          <w:szCs w:val="32"/>
        </w:rPr>
        <w:t>结果。</w:t>
      </w:r>
    </w:p>
    <w:p w14:paraId="75DC59F8">
      <w:pPr>
        <w:keepNext w:val="0"/>
        <w:keepLines w:val="0"/>
        <w:pageBreakBefore w:val="0"/>
        <w:widowControl w:val="0"/>
        <w:numPr>
          <w:ilvl w:val="0"/>
          <w:numId w:val="2"/>
        </w:numPr>
        <w:tabs>
          <w:tab w:val="left" w:pos="1276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420" w:firstLineChars="0"/>
        <w:textAlignment w:val="auto"/>
        <w:rPr>
          <w:rFonts w:hint="eastAsia" w:ascii="楷体" w:hAnsi="楷体" w:eastAsia="楷体" w:cstheme="minorBidi"/>
          <w:kern w:val="2"/>
          <w:sz w:val="32"/>
          <w:szCs w:val="32"/>
          <w:lang w:val="en-US" w:eastAsia="zh-CN" w:bidi="ar-SA"/>
        </w:rPr>
      </w:pPr>
      <w:r>
        <w:rPr>
          <w:rFonts w:hint="eastAsia" w:ascii="楷体" w:hAnsi="楷体" w:eastAsia="楷体" w:cstheme="minorBidi"/>
          <w:kern w:val="2"/>
          <w:sz w:val="32"/>
          <w:szCs w:val="32"/>
          <w:lang w:val="en-US" w:eastAsia="zh-CN" w:bidi="ar-SA"/>
        </w:rPr>
        <w:t>公募基金公司推介——销售服务</w:t>
      </w:r>
    </w:p>
    <w:p w14:paraId="7298981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综合考虑以下指标加权计算得出：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公募基金公司</w:t>
      </w:r>
      <w:r>
        <w:rPr>
          <w:rFonts w:hint="eastAsia" w:ascii="仿宋_GB2312" w:hAnsi="仿宋" w:eastAsia="仿宋_GB2312"/>
          <w:sz w:val="32"/>
          <w:szCs w:val="32"/>
        </w:rPr>
        <w:t>报送的相关销售服务情况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；</w:t>
      </w:r>
      <w:r>
        <w:rPr>
          <w:rFonts w:hint="eastAsia" w:ascii="仿宋_GB2312" w:hAnsi="仿宋" w:eastAsia="仿宋_GB2312"/>
          <w:sz w:val="32"/>
          <w:szCs w:val="32"/>
        </w:rPr>
        <w:t>保险机构对该公司销售服务情况的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调查</w:t>
      </w:r>
      <w:r>
        <w:rPr>
          <w:rFonts w:hint="eastAsia" w:ascii="仿宋_GB2312" w:hAnsi="仿宋" w:eastAsia="仿宋_GB2312"/>
          <w:sz w:val="32"/>
          <w:szCs w:val="32"/>
        </w:rPr>
        <w:t>结果。</w:t>
      </w:r>
    </w:p>
    <w:p w14:paraId="67F7C78E">
      <w:pPr>
        <w:keepNext w:val="0"/>
        <w:keepLines w:val="0"/>
        <w:pageBreakBefore w:val="0"/>
        <w:widowControl w:val="0"/>
        <w:numPr>
          <w:ilvl w:val="0"/>
          <w:numId w:val="2"/>
        </w:numPr>
        <w:tabs>
          <w:tab w:val="left" w:pos="1276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420" w:firstLineChars="0"/>
        <w:textAlignment w:val="auto"/>
        <w:rPr>
          <w:rFonts w:hint="eastAsia" w:ascii="楷体" w:hAnsi="楷体" w:eastAsia="楷体" w:cstheme="minorBidi"/>
          <w:kern w:val="2"/>
          <w:sz w:val="32"/>
          <w:szCs w:val="32"/>
          <w:lang w:val="en-US" w:eastAsia="zh-CN" w:bidi="ar-SA"/>
        </w:rPr>
      </w:pPr>
      <w:r>
        <w:rPr>
          <w:rFonts w:hint="eastAsia" w:ascii="楷体" w:hAnsi="楷体" w:eastAsia="楷体" w:cstheme="minorBidi"/>
          <w:kern w:val="2"/>
          <w:sz w:val="32"/>
          <w:szCs w:val="32"/>
          <w:lang w:val="en-US" w:eastAsia="zh-CN" w:bidi="ar-SA"/>
        </w:rPr>
        <w:t>公募基金公司推介——业务潜力</w:t>
      </w:r>
    </w:p>
    <w:p w14:paraId="5E96209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综合考虑以下指标加权计算得出：公募基金公司管理保险资金规模、服务保险机构数量较上一年度的增量变化；保险机构的调查情况等。</w:t>
      </w:r>
    </w:p>
    <w:p w14:paraId="16EE3A1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仿宋_GB2312" w:hAnsi="仿宋" w:eastAsia="仿宋_GB2312" w:cs="Calibri"/>
          <w:kern w:val="0"/>
          <w:sz w:val="32"/>
          <w:szCs w:val="32"/>
        </w:rPr>
      </w:pPr>
      <w:r>
        <w:rPr>
          <w:rFonts w:hint="eastAsia" w:ascii="黑体" w:hAnsi="黑体" w:eastAsia="黑体" w:cs="Calibri"/>
          <w:kern w:val="0"/>
          <w:sz w:val="32"/>
          <w:szCs w:val="32"/>
        </w:rPr>
        <w:t>三、期货公司推介</w:t>
      </w:r>
    </w:p>
    <w:p w14:paraId="09D47A1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本届推介就期货公司设置四项推介项目：</w:t>
      </w:r>
    </w:p>
    <w:p w14:paraId="686FA06D">
      <w:pPr>
        <w:keepNext w:val="0"/>
        <w:keepLines w:val="0"/>
        <w:pageBreakBefore w:val="0"/>
        <w:widowControl w:val="0"/>
        <w:numPr>
          <w:ilvl w:val="0"/>
          <w:numId w:val="3"/>
        </w:numPr>
        <w:tabs>
          <w:tab w:val="left" w:pos="1276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420" w:firstLineChars="0"/>
        <w:textAlignment w:val="auto"/>
        <w:rPr>
          <w:rFonts w:hint="eastAsia" w:ascii="楷体" w:hAnsi="楷体" w:eastAsia="楷体" w:cstheme="minorBidi"/>
          <w:kern w:val="2"/>
          <w:sz w:val="32"/>
          <w:szCs w:val="32"/>
          <w:lang w:val="en-US" w:eastAsia="zh-CN" w:bidi="ar-SA"/>
        </w:rPr>
      </w:pPr>
      <w:r>
        <w:rPr>
          <w:rFonts w:hint="eastAsia" w:ascii="楷体" w:hAnsi="楷体" w:eastAsia="楷体" w:cstheme="minorBidi"/>
          <w:kern w:val="2"/>
          <w:sz w:val="32"/>
          <w:szCs w:val="32"/>
          <w:lang w:val="en-US" w:eastAsia="zh-CN" w:bidi="ar-SA"/>
        </w:rPr>
        <w:t>期货公司推介——综合</w:t>
      </w:r>
    </w:p>
    <w:p w14:paraId="7C24891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综合考虑以下指标加权计算得出：期货公司管理保险资金规模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、</w:t>
      </w:r>
      <w:r>
        <w:rPr>
          <w:rFonts w:hint="eastAsia" w:ascii="仿宋_GB2312" w:hAnsi="仿宋" w:eastAsia="仿宋_GB2312"/>
          <w:sz w:val="32"/>
          <w:szCs w:val="32"/>
        </w:rPr>
        <w:t>服务保险机构数量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等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；</w:t>
      </w:r>
      <w:r>
        <w:rPr>
          <w:rFonts w:hint="eastAsia" w:ascii="仿宋_GB2312" w:hAnsi="仿宋" w:eastAsia="仿宋_GB2312"/>
          <w:sz w:val="32"/>
          <w:szCs w:val="32"/>
        </w:rPr>
        <w:t>保险机构对其开展业务合作和服务情况的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调查</w:t>
      </w:r>
      <w:r>
        <w:rPr>
          <w:rFonts w:hint="eastAsia" w:ascii="仿宋_GB2312" w:hAnsi="仿宋" w:eastAsia="仿宋_GB2312"/>
          <w:sz w:val="32"/>
          <w:szCs w:val="32"/>
        </w:rPr>
        <w:t>结果。</w:t>
      </w:r>
    </w:p>
    <w:p w14:paraId="6CD36076">
      <w:pPr>
        <w:keepNext w:val="0"/>
        <w:keepLines w:val="0"/>
        <w:pageBreakBefore w:val="0"/>
        <w:widowControl w:val="0"/>
        <w:numPr>
          <w:ilvl w:val="0"/>
          <w:numId w:val="3"/>
        </w:numPr>
        <w:tabs>
          <w:tab w:val="left" w:pos="1276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420" w:firstLineChars="0"/>
        <w:textAlignment w:val="auto"/>
        <w:rPr>
          <w:rFonts w:hint="eastAsia" w:ascii="楷体" w:hAnsi="楷体" w:eastAsia="楷体" w:cstheme="minorBidi"/>
          <w:kern w:val="2"/>
          <w:sz w:val="32"/>
          <w:szCs w:val="32"/>
          <w:lang w:val="en-US" w:eastAsia="zh-CN" w:bidi="ar-SA"/>
        </w:rPr>
      </w:pPr>
      <w:r>
        <w:rPr>
          <w:rFonts w:hint="eastAsia" w:ascii="楷体" w:hAnsi="楷体" w:eastAsia="楷体" w:cstheme="minorBidi"/>
          <w:kern w:val="2"/>
          <w:sz w:val="32"/>
          <w:szCs w:val="32"/>
          <w:lang w:val="en-US" w:eastAsia="zh-CN" w:bidi="ar-SA"/>
        </w:rPr>
        <w:t>期货公司推介——股指期货业务</w:t>
      </w:r>
    </w:p>
    <w:p w14:paraId="6CD874D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综合考虑以下指标加权计算得出：期货公司报送的关于保险机构投资该公司股指期货业务的相关数据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；</w:t>
      </w:r>
      <w:r>
        <w:rPr>
          <w:rFonts w:hint="eastAsia" w:ascii="仿宋_GB2312" w:hAnsi="仿宋" w:eastAsia="仿宋_GB2312"/>
          <w:sz w:val="32"/>
          <w:szCs w:val="32"/>
        </w:rPr>
        <w:t>保险机构对该公司股指期货业务研究、服务等情况的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调查</w:t>
      </w:r>
      <w:r>
        <w:rPr>
          <w:rFonts w:hint="eastAsia" w:ascii="仿宋_GB2312" w:hAnsi="仿宋" w:eastAsia="仿宋_GB2312"/>
          <w:sz w:val="32"/>
          <w:szCs w:val="32"/>
        </w:rPr>
        <w:t>结果。</w:t>
      </w:r>
    </w:p>
    <w:p w14:paraId="5122D2B8">
      <w:pPr>
        <w:keepNext w:val="0"/>
        <w:keepLines w:val="0"/>
        <w:pageBreakBefore w:val="0"/>
        <w:widowControl w:val="0"/>
        <w:numPr>
          <w:ilvl w:val="0"/>
          <w:numId w:val="3"/>
        </w:numPr>
        <w:tabs>
          <w:tab w:val="left" w:pos="1276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420" w:firstLineChars="0"/>
        <w:textAlignment w:val="auto"/>
        <w:rPr>
          <w:rFonts w:hint="eastAsia" w:ascii="楷体" w:hAnsi="楷体" w:eastAsia="楷体" w:cstheme="minorBidi"/>
          <w:kern w:val="2"/>
          <w:sz w:val="32"/>
          <w:szCs w:val="32"/>
          <w:lang w:val="en-US" w:eastAsia="zh-CN" w:bidi="ar-SA"/>
        </w:rPr>
      </w:pPr>
      <w:r>
        <w:rPr>
          <w:rFonts w:hint="eastAsia" w:ascii="楷体" w:hAnsi="楷体" w:eastAsia="楷体" w:cstheme="minorBidi"/>
          <w:kern w:val="2"/>
          <w:sz w:val="32"/>
          <w:szCs w:val="32"/>
          <w:lang w:val="en-US" w:eastAsia="zh-CN" w:bidi="ar-SA"/>
        </w:rPr>
        <w:t>期货公司推介——国债期货业务</w:t>
      </w:r>
    </w:p>
    <w:p w14:paraId="38F4732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综合考虑以下指标加权计算得出：期货公司报送的关于保险机构投资该公司国债期货业务的相关数据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；</w:t>
      </w:r>
      <w:r>
        <w:rPr>
          <w:rFonts w:hint="eastAsia" w:ascii="仿宋_GB2312" w:hAnsi="仿宋" w:eastAsia="仿宋_GB2312"/>
          <w:sz w:val="32"/>
          <w:szCs w:val="32"/>
        </w:rPr>
        <w:t>保险机构对该公司国债期货业务研究、服务等情况的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调查</w:t>
      </w:r>
      <w:r>
        <w:rPr>
          <w:rFonts w:hint="eastAsia" w:ascii="仿宋_GB2312" w:hAnsi="仿宋" w:eastAsia="仿宋_GB2312"/>
          <w:sz w:val="32"/>
          <w:szCs w:val="32"/>
        </w:rPr>
        <w:t>结果。</w:t>
      </w:r>
    </w:p>
    <w:p w14:paraId="3D5FE307">
      <w:pPr>
        <w:keepNext w:val="0"/>
        <w:keepLines w:val="0"/>
        <w:pageBreakBefore w:val="0"/>
        <w:widowControl w:val="0"/>
        <w:numPr>
          <w:ilvl w:val="0"/>
          <w:numId w:val="3"/>
        </w:numPr>
        <w:tabs>
          <w:tab w:val="left" w:pos="1276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420" w:firstLineChars="0"/>
        <w:textAlignment w:val="auto"/>
        <w:rPr>
          <w:rFonts w:hint="eastAsia" w:ascii="楷体" w:hAnsi="楷体" w:eastAsia="楷体" w:cstheme="minorBidi"/>
          <w:kern w:val="2"/>
          <w:sz w:val="32"/>
          <w:szCs w:val="32"/>
          <w:lang w:val="en-US" w:eastAsia="zh-CN" w:bidi="ar-SA"/>
        </w:rPr>
      </w:pPr>
      <w:r>
        <w:rPr>
          <w:rFonts w:hint="eastAsia" w:ascii="楷体" w:hAnsi="楷体" w:eastAsia="楷体" w:cstheme="minorBidi"/>
          <w:kern w:val="2"/>
          <w:sz w:val="32"/>
          <w:szCs w:val="32"/>
          <w:lang w:val="en-US" w:eastAsia="zh-CN" w:bidi="ar-SA"/>
        </w:rPr>
        <w:t>期货公司推介——业务潜力</w:t>
      </w:r>
    </w:p>
    <w:p w14:paraId="4173E4C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综合考虑以下指标加权计算得出：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期货</w:t>
      </w:r>
      <w:r>
        <w:rPr>
          <w:rFonts w:hint="eastAsia" w:ascii="仿宋_GB2312" w:hAnsi="仿宋" w:eastAsia="仿宋_GB2312"/>
          <w:sz w:val="32"/>
          <w:szCs w:val="32"/>
        </w:rPr>
        <w:t>公司管理保险资金规模、服务保险机构数量较上一年度的增量变化；保险机构的调查情况等。</w:t>
      </w:r>
    </w:p>
    <w:p w14:paraId="71CE1E1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Calibri"/>
          <w:kern w:val="0"/>
          <w:sz w:val="32"/>
          <w:szCs w:val="32"/>
        </w:rPr>
      </w:pPr>
      <w:r>
        <w:rPr>
          <w:rFonts w:hint="eastAsia" w:ascii="黑体" w:hAnsi="黑体" w:eastAsia="黑体" w:cs="Calibri"/>
          <w:kern w:val="0"/>
          <w:sz w:val="32"/>
          <w:szCs w:val="32"/>
        </w:rPr>
        <w:t>四、境外投资机构推介</w:t>
      </w:r>
    </w:p>
    <w:p w14:paraId="3510930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本届推介就境外投资机构设置五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个</w:t>
      </w:r>
      <w:r>
        <w:rPr>
          <w:rFonts w:hint="eastAsia" w:ascii="仿宋_GB2312" w:hAnsi="仿宋" w:eastAsia="仿宋_GB2312"/>
          <w:sz w:val="32"/>
          <w:szCs w:val="32"/>
        </w:rPr>
        <w:t>推介项目：</w:t>
      </w:r>
    </w:p>
    <w:p w14:paraId="274BB355">
      <w:pPr>
        <w:keepNext w:val="0"/>
        <w:keepLines w:val="0"/>
        <w:pageBreakBefore w:val="0"/>
        <w:widowControl w:val="0"/>
        <w:numPr>
          <w:ilvl w:val="0"/>
          <w:numId w:val="4"/>
        </w:numPr>
        <w:tabs>
          <w:tab w:val="left" w:pos="1276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420" w:firstLineChars="0"/>
        <w:textAlignment w:val="auto"/>
        <w:rPr>
          <w:rFonts w:hint="eastAsia" w:ascii="楷体" w:hAnsi="楷体" w:eastAsia="楷体" w:cstheme="minorBidi"/>
          <w:kern w:val="2"/>
          <w:sz w:val="32"/>
          <w:szCs w:val="32"/>
          <w:lang w:val="en-US" w:eastAsia="zh-CN" w:bidi="ar-SA"/>
        </w:rPr>
      </w:pPr>
      <w:r>
        <w:rPr>
          <w:rFonts w:hint="eastAsia" w:ascii="楷体" w:hAnsi="楷体" w:eastAsia="楷体" w:cstheme="minorBidi"/>
          <w:kern w:val="2"/>
          <w:sz w:val="32"/>
          <w:szCs w:val="32"/>
          <w:lang w:val="en-US" w:eastAsia="zh-CN" w:bidi="ar-SA"/>
        </w:rPr>
        <w:t>境外投资机构推介——综合</w:t>
      </w:r>
    </w:p>
    <w:p w14:paraId="554C116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综合考虑以下指标加权计算得出：境外投资机构管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理的</w:t>
      </w:r>
      <w:r>
        <w:rPr>
          <w:rFonts w:hint="eastAsia" w:ascii="仿宋_GB2312" w:hAnsi="仿宋" w:eastAsia="仿宋_GB2312"/>
          <w:sz w:val="32"/>
          <w:szCs w:val="32"/>
        </w:rPr>
        <w:t>中国保险资金规模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、</w:t>
      </w:r>
      <w:r>
        <w:rPr>
          <w:rFonts w:hint="eastAsia" w:ascii="仿宋_GB2312" w:hAnsi="仿宋" w:eastAsia="仿宋_GB2312"/>
          <w:sz w:val="32"/>
          <w:szCs w:val="32"/>
        </w:rPr>
        <w:t>服务中国保险机构数量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等</w:t>
      </w:r>
      <w:r>
        <w:rPr>
          <w:rFonts w:hint="eastAsia" w:ascii="仿宋_GB2312" w:hAnsi="仿宋" w:eastAsia="仿宋_GB2312"/>
          <w:sz w:val="32"/>
          <w:szCs w:val="32"/>
        </w:rPr>
        <w:t>情况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；</w:t>
      </w:r>
      <w:r>
        <w:rPr>
          <w:rFonts w:hint="eastAsia" w:ascii="仿宋_GB2312" w:hAnsi="仿宋" w:eastAsia="仿宋_GB2312"/>
          <w:sz w:val="32"/>
          <w:szCs w:val="32"/>
        </w:rPr>
        <w:t>保险机构对其开展业务合作和服务情况的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调查</w:t>
      </w:r>
      <w:r>
        <w:rPr>
          <w:rFonts w:hint="eastAsia" w:ascii="仿宋_GB2312" w:hAnsi="仿宋" w:eastAsia="仿宋_GB2312"/>
          <w:sz w:val="32"/>
          <w:szCs w:val="32"/>
        </w:rPr>
        <w:t>结果。</w:t>
      </w:r>
    </w:p>
    <w:p w14:paraId="2791B6CA">
      <w:pPr>
        <w:keepNext w:val="0"/>
        <w:keepLines w:val="0"/>
        <w:pageBreakBefore w:val="0"/>
        <w:widowControl w:val="0"/>
        <w:numPr>
          <w:ilvl w:val="0"/>
          <w:numId w:val="4"/>
        </w:numPr>
        <w:tabs>
          <w:tab w:val="left" w:pos="1276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420" w:firstLineChars="0"/>
        <w:textAlignment w:val="auto"/>
        <w:rPr>
          <w:rFonts w:hint="eastAsia" w:ascii="楷体" w:hAnsi="楷体" w:eastAsia="楷体" w:cstheme="minorBidi"/>
          <w:kern w:val="2"/>
          <w:sz w:val="32"/>
          <w:szCs w:val="32"/>
          <w:lang w:val="en-US" w:eastAsia="zh-CN" w:bidi="ar-SA"/>
        </w:rPr>
      </w:pPr>
      <w:r>
        <w:rPr>
          <w:rFonts w:hint="eastAsia" w:ascii="楷体" w:hAnsi="楷体" w:eastAsia="楷体" w:cstheme="minorBidi"/>
          <w:kern w:val="2"/>
          <w:sz w:val="32"/>
          <w:szCs w:val="32"/>
          <w:lang w:val="en-US" w:eastAsia="zh-CN" w:bidi="ar-SA"/>
        </w:rPr>
        <w:t>境外受托机构推介</w:t>
      </w:r>
    </w:p>
    <w:p w14:paraId="7E52E3B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综合考虑以下指标加权计算得出：境外投资机构报送的202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4</w:t>
      </w:r>
      <w:r>
        <w:rPr>
          <w:rFonts w:hint="eastAsia" w:ascii="仿宋_GB2312" w:hAnsi="仿宋" w:eastAsia="仿宋_GB2312"/>
          <w:sz w:val="32"/>
          <w:szCs w:val="32"/>
        </w:rPr>
        <w:t>年度合计受托管理中国保险资金规模数据（以美元计价）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；</w:t>
      </w:r>
      <w:r>
        <w:rPr>
          <w:rFonts w:hint="eastAsia" w:ascii="仿宋_GB2312" w:hAnsi="仿宋" w:eastAsia="仿宋_GB2312"/>
          <w:sz w:val="32"/>
          <w:szCs w:val="32"/>
        </w:rPr>
        <w:t>保险机构对境外投资机构受托业务情况的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调查</w:t>
      </w:r>
      <w:r>
        <w:rPr>
          <w:rFonts w:hint="eastAsia" w:ascii="仿宋_GB2312" w:hAnsi="仿宋" w:eastAsia="仿宋_GB2312"/>
          <w:sz w:val="32"/>
          <w:szCs w:val="32"/>
        </w:rPr>
        <w:t>结果。该境外投资机构须符合《保险资金境外投资管理办法》的境外受托人相关规定。</w:t>
      </w:r>
    </w:p>
    <w:p w14:paraId="60D39CD5">
      <w:pPr>
        <w:keepNext w:val="0"/>
        <w:keepLines w:val="0"/>
        <w:pageBreakBefore w:val="0"/>
        <w:widowControl w:val="0"/>
        <w:numPr>
          <w:ilvl w:val="0"/>
          <w:numId w:val="4"/>
        </w:numPr>
        <w:tabs>
          <w:tab w:val="left" w:pos="1276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420" w:firstLineChars="0"/>
        <w:textAlignment w:val="auto"/>
        <w:rPr>
          <w:rFonts w:hint="eastAsia" w:ascii="楷体" w:hAnsi="楷体" w:eastAsia="楷体" w:cstheme="minorBidi"/>
          <w:kern w:val="2"/>
          <w:sz w:val="32"/>
          <w:szCs w:val="32"/>
          <w:lang w:val="en-US" w:eastAsia="zh-CN" w:bidi="ar-SA"/>
        </w:rPr>
      </w:pPr>
      <w:r>
        <w:rPr>
          <w:rFonts w:hint="eastAsia" w:ascii="楷体" w:hAnsi="楷体" w:eastAsia="楷体" w:cstheme="minorBidi"/>
          <w:kern w:val="2"/>
          <w:sz w:val="32"/>
          <w:szCs w:val="32"/>
          <w:lang w:val="en-US" w:eastAsia="zh-CN" w:bidi="ar-SA"/>
        </w:rPr>
        <w:t>境外投资机构推介——境外公开市场业务</w:t>
      </w:r>
    </w:p>
    <w:p w14:paraId="68744FA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综合考虑以下指标加权计算得出：境外投资机构报送的关于境外股票、债券、基金、衍生品等公开市场投资业务数据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；</w:t>
      </w:r>
      <w:r>
        <w:rPr>
          <w:rFonts w:hint="eastAsia" w:ascii="仿宋_GB2312" w:hAnsi="仿宋" w:eastAsia="仿宋_GB2312"/>
          <w:sz w:val="32"/>
          <w:szCs w:val="32"/>
        </w:rPr>
        <w:t>保险机构对境外投资机构公开市场投资业务情况的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调查</w:t>
      </w:r>
      <w:r>
        <w:rPr>
          <w:rFonts w:hint="eastAsia" w:ascii="仿宋_GB2312" w:hAnsi="仿宋" w:eastAsia="仿宋_GB2312"/>
          <w:sz w:val="32"/>
          <w:szCs w:val="32"/>
        </w:rPr>
        <w:t>结果。</w:t>
      </w:r>
    </w:p>
    <w:p w14:paraId="17390876">
      <w:pPr>
        <w:keepNext w:val="0"/>
        <w:keepLines w:val="0"/>
        <w:pageBreakBefore w:val="0"/>
        <w:widowControl w:val="0"/>
        <w:numPr>
          <w:ilvl w:val="0"/>
          <w:numId w:val="4"/>
        </w:numPr>
        <w:tabs>
          <w:tab w:val="left" w:pos="1276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420" w:firstLineChars="0"/>
        <w:textAlignment w:val="auto"/>
        <w:rPr>
          <w:rFonts w:hint="eastAsia" w:ascii="楷体" w:hAnsi="楷体" w:eastAsia="楷体" w:cstheme="minorBidi"/>
          <w:kern w:val="2"/>
          <w:sz w:val="32"/>
          <w:szCs w:val="32"/>
          <w:lang w:val="en-US" w:eastAsia="zh-CN" w:bidi="ar-SA"/>
        </w:rPr>
      </w:pPr>
      <w:r>
        <w:rPr>
          <w:rFonts w:hint="eastAsia" w:ascii="楷体" w:hAnsi="楷体" w:eastAsia="楷体" w:cstheme="minorBidi"/>
          <w:kern w:val="2"/>
          <w:sz w:val="32"/>
          <w:szCs w:val="32"/>
          <w:lang w:val="en-US" w:eastAsia="zh-CN" w:bidi="ar-SA"/>
        </w:rPr>
        <w:t>境外投资机构推介——境外另类业务</w:t>
      </w:r>
    </w:p>
    <w:p w14:paraId="0702F5B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综合考虑以下指标加权计算得出：境外投资机构报送的关于境外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私募股权</w:t>
      </w:r>
      <w:r>
        <w:rPr>
          <w:rFonts w:hint="eastAsia" w:ascii="仿宋_GB2312" w:hAnsi="仿宋" w:eastAsia="仿宋_GB2312"/>
          <w:sz w:val="32"/>
          <w:szCs w:val="32"/>
        </w:rPr>
        <w:t>基金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、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基建类基金等另类投资</w:t>
      </w:r>
      <w:r>
        <w:rPr>
          <w:rFonts w:hint="eastAsia" w:ascii="仿宋_GB2312" w:hAnsi="仿宋" w:eastAsia="仿宋_GB2312"/>
          <w:sz w:val="32"/>
          <w:szCs w:val="32"/>
        </w:rPr>
        <w:t>业务数据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；</w:t>
      </w:r>
      <w:r>
        <w:rPr>
          <w:rFonts w:hint="eastAsia" w:ascii="仿宋_GB2312" w:hAnsi="仿宋" w:eastAsia="仿宋_GB2312"/>
          <w:sz w:val="32"/>
          <w:szCs w:val="32"/>
        </w:rPr>
        <w:t>保险机构对境外投资机构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另类投资</w:t>
      </w:r>
      <w:r>
        <w:rPr>
          <w:rFonts w:hint="eastAsia" w:ascii="仿宋_GB2312" w:hAnsi="仿宋" w:eastAsia="仿宋_GB2312"/>
          <w:sz w:val="32"/>
          <w:szCs w:val="32"/>
        </w:rPr>
        <w:t>业务情况的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调查</w:t>
      </w:r>
      <w:r>
        <w:rPr>
          <w:rFonts w:hint="eastAsia" w:ascii="仿宋_GB2312" w:hAnsi="仿宋" w:eastAsia="仿宋_GB2312"/>
          <w:sz w:val="32"/>
          <w:szCs w:val="32"/>
        </w:rPr>
        <w:t>结果。</w:t>
      </w:r>
    </w:p>
    <w:p w14:paraId="3F748A39">
      <w:pPr>
        <w:keepNext w:val="0"/>
        <w:keepLines w:val="0"/>
        <w:pageBreakBefore w:val="0"/>
        <w:widowControl w:val="0"/>
        <w:numPr>
          <w:ilvl w:val="0"/>
          <w:numId w:val="4"/>
        </w:numPr>
        <w:tabs>
          <w:tab w:val="left" w:pos="1276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420" w:firstLineChars="0"/>
        <w:textAlignment w:val="auto"/>
        <w:rPr>
          <w:rFonts w:hint="eastAsia" w:ascii="楷体" w:hAnsi="楷体" w:eastAsia="楷体" w:cstheme="minorBidi"/>
          <w:kern w:val="2"/>
          <w:sz w:val="32"/>
          <w:szCs w:val="32"/>
          <w:lang w:val="en-US" w:eastAsia="zh-CN" w:bidi="ar-SA"/>
        </w:rPr>
      </w:pPr>
      <w:r>
        <w:rPr>
          <w:rFonts w:hint="eastAsia" w:ascii="楷体" w:hAnsi="楷体" w:eastAsia="楷体" w:cstheme="minorBidi"/>
          <w:kern w:val="2"/>
          <w:sz w:val="32"/>
          <w:szCs w:val="32"/>
          <w:lang w:val="en-US" w:eastAsia="zh-CN" w:bidi="ar-SA"/>
        </w:rPr>
        <w:t>境外投资机构推介——业务潜力</w:t>
      </w:r>
    </w:p>
    <w:p w14:paraId="70BB9D4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</w:pPr>
      <w:r>
        <w:rPr>
          <w:rFonts w:hint="eastAsia" w:ascii="仿宋_GB2312" w:hAnsi="仿宋" w:eastAsia="仿宋_GB2312"/>
          <w:sz w:val="32"/>
          <w:szCs w:val="32"/>
        </w:rPr>
        <w:t>综合考虑以下指标加权计算得出：境外投资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机构</w:t>
      </w:r>
      <w:r>
        <w:rPr>
          <w:rFonts w:hint="eastAsia" w:ascii="仿宋_GB2312" w:hAnsi="仿宋" w:eastAsia="仿宋_GB2312"/>
          <w:sz w:val="32"/>
          <w:szCs w:val="32"/>
        </w:rPr>
        <w:t>管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理的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中国境内</w:t>
      </w:r>
      <w:r>
        <w:rPr>
          <w:rFonts w:hint="eastAsia" w:ascii="仿宋_GB2312" w:hAnsi="仿宋" w:eastAsia="仿宋_GB2312"/>
          <w:sz w:val="32"/>
          <w:szCs w:val="32"/>
        </w:rPr>
        <w:t>保险资金规模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、</w:t>
      </w:r>
      <w:r>
        <w:rPr>
          <w:rFonts w:hint="eastAsia" w:ascii="仿宋_GB2312" w:hAnsi="仿宋" w:eastAsia="仿宋_GB2312"/>
          <w:sz w:val="32"/>
          <w:szCs w:val="32"/>
        </w:rPr>
        <w:t>服务保险机构数量较上一年度的增量变化；保险机构的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调查</w:t>
      </w:r>
      <w:r>
        <w:rPr>
          <w:rFonts w:hint="eastAsia" w:ascii="仿宋_GB2312" w:hAnsi="仿宋" w:eastAsia="仿宋_GB2312"/>
          <w:sz w:val="32"/>
          <w:szCs w:val="32"/>
        </w:rPr>
        <w:t>情况等。</w:t>
      </w:r>
      <w:bookmarkStart w:id="0" w:name="_GoBack"/>
      <w:bookmarkEnd w:id="0"/>
    </w:p>
    <w:sectPr>
      <w:footerReference r:id="rId3" w:type="default"/>
      <w:pgSz w:w="11906" w:h="16838"/>
      <w:pgMar w:top="1440" w:right="1800" w:bottom="1440" w:left="1800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长城小标宋体">
    <w:panose1 w:val="02010609010101010101"/>
    <w:charset w:val="00"/>
    <w:family w:val="auto"/>
    <w:pitch w:val="default"/>
    <w:sig w:usb0="00000000" w:usb1="00000000" w:usb2="00000000" w:usb3="00000000" w:csb0="0000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CC18419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466E7E1">
                          <w:pPr>
                            <w:pStyle w:val="2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466E7E1">
                    <w:pPr>
                      <w:pStyle w:val="2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A050499"/>
    <w:multiLevelType w:val="singleLevel"/>
    <w:tmpl w:val="9A050499"/>
    <w:lvl w:ilvl="0" w:tentative="0">
      <w:start w:val="1"/>
      <w:numFmt w:val="chineseCounting"/>
      <w:suff w:val="nothing"/>
      <w:lvlText w:val="（%1）"/>
      <w:lvlJc w:val="left"/>
      <w:pPr>
        <w:ind w:left="0" w:firstLine="420"/>
      </w:pPr>
      <w:rPr>
        <w:rFonts w:hint="eastAsia"/>
      </w:rPr>
    </w:lvl>
  </w:abstractNum>
  <w:abstractNum w:abstractNumId="1">
    <w:nsid w:val="18AD5C11"/>
    <w:multiLevelType w:val="singleLevel"/>
    <w:tmpl w:val="18AD5C11"/>
    <w:lvl w:ilvl="0" w:tentative="0">
      <w:start w:val="1"/>
      <w:numFmt w:val="chineseCounting"/>
      <w:suff w:val="nothing"/>
      <w:lvlText w:val="（%1）"/>
      <w:lvlJc w:val="left"/>
      <w:pPr>
        <w:ind w:left="0" w:firstLine="420"/>
      </w:pPr>
      <w:rPr>
        <w:rFonts w:hint="eastAsia"/>
      </w:rPr>
    </w:lvl>
  </w:abstractNum>
  <w:abstractNum w:abstractNumId="2">
    <w:nsid w:val="29E2BD3C"/>
    <w:multiLevelType w:val="singleLevel"/>
    <w:tmpl w:val="29E2BD3C"/>
    <w:lvl w:ilvl="0" w:tentative="0">
      <w:start w:val="1"/>
      <w:numFmt w:val="chineseCounting"/>
      <w:suff w:val="nothing"/>
      <w:lvlText w:val="（%1）"/>
      <w:lvlJc w:val="left"/>
      <w:pPr>
        <w:ind w:left="0" w:firstLine="420"/>
      </w:pPr>
      <w:rPr>
        <w:rFonts w:hint="eastAsia"/>
      </w:rPr>
    </w:lvl>
  </w:abstractNum>
  <w:abstractNum w:abstractNumId="3">
    <w:nsid w:val="7609A0BC"/>
    <w:multiLevelType w:val="singleLevel"/>
    <w:tmpl w:val="7609A0BC"/>
    <w:lvl w:ilvl="0" w:tentative="0">
      <w:start w:val="1"/>
      <w:numFmt w:val="chineseCounting"/>
      <w:suff w:val="nothing"/>
      <w:lvlText w:val="（%1）"/>
      <w:lvlJc w:val="left"/>
      <w:pPr>
        <w:ind w:left="0" w:firstLine="420"/>
      </w:pPr>
      <w:rPr>
        <w:rFonts w:hint="eastAsia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3A9735D"/>
    <w:rsid w:val="19E25E4D"/>
    <w:rsid w:val="1BA23AE5"/>
    <w:rsid w:val="29842A7C"/>
    <w:rsid w:val="40880070"/>
    <w:rsid w:val="50C20A70"/>
    <w:rsid w:val="51271DBC"/>
    <w:rsid w:val="57F624E8"/>
    <w:rsid w:val="5ADA4533"/>
    <w:rsid w:val="6DAD55F2"/>
    <w:rsid w:val="717C36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1830</Words>
  <Characters>1833</Characters>
  <Lines>0</Lines>
  <Paragraphs>0</Paragraphs>
  <TotalTime>1</TotalTime>
  <ScaleCrop>false</ScaleCrop>
  <LinksUpToDate>false</LinksUpToDate>
  <CharactersWithSpaces>1833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2025-06-06T07:56:00Z</dcterms:created>
  <dc:creator>yajun_liu</dc:creator>
  <cp:lastModifiedBy>刘雅骏</cp:lastModifiedBy>
  <dcterms:modified xsi:type="dcterms:W3CDTF">2025-06-09T01:01:32Z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KSOTemplateDocerSaveRecord">
    <vt:lpwstr>eyJoZGlkIjoiN2QyZmY2OGY5MjQ5ZjEyNjg3ZjRlMzA4MWI5MDEwYzkiLCJ1c2VySWQiOiI0MDkwNDc2OTAifQ==</vt:lpwstr>
  </property>
  <property fmtid="{D5CDD505-2E9C-101B-9397-08002B2CF9AE}" pid="4" name="ICV">
    <vt:lpwstr>F712665E97B44A84A1405CDF7B11162F_12</vt:lpwstr>
  </property>
</Properties>
</file>